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EC54C2" w14:textId="77777777" w:rsidR="008C5517" w:rsidRDefault="008C5517">
      <w:pPr>
        <w:pBdr>
          <w:bottom w:val="single" w:sz="4" w:space="1" w:color="000000"/>
        </w:pBdr>
        <w:tabs>
          <w:tab w:val="center" w:pos="4320"/>
          <w:tab w:val="right" w:pos="8640"/>
        </w:tabs>
        <w:spacing w:after="0" w:line="240" w:lineRule="auto"/>
        <w:rPr>
          <w:rFonts w:ascii="Cambria Math" w:eastAsia="Book Antiqua" w:hAnsi="Cambria Math" w:cs="Book Antiqua"/>
          <w:b/>
          <w:bCs/>
          <w:iCs/>
          <w:color w:val="000000"/>
          <w:sz w:val="20"/>
          <w:szCs w:val="20"/>
        </w:rPr>
      </w:pPr>
      <w:r>
        <w:rPr>
          <w:rFonts w:ascii="Cambria Math" w:eastAsia="Book Antiqua" w:hAnsi="Cambria Math" w:cs="Book Antiqua"/>
          <w:b/>
          <w:bCs/>
          <w:iCs/>
          <w:noProof/>
          <w:color w:val="000000"/>
          <w:sz w:val="20"/>
          <w:szCs w:val="20"/>
        </w:rPr>
        <w:drawing>
          <wp:anchor distT="0" distB="0" distL="114300" distR="114300" simplePos="0" relativeHeight="251659264" behindDoc="1" locked="0" layoutInCell="1" allowOverlap="1" wp14:anchorId="0BF85D98" wp14:editId="522B3D40">
            <wp:simplePos x="0" y="0"/>
            <wp:positionH relativeFrom="column">
              <wp:posOffset>3242310</wp:posOffset>
            </wp:positionH>
            <wp:positionV relativeFrom="paragraph">
              <wp:posOffset>137795</wp:posOffset>
            </wp:positionV>
            <wp:extent cx="1792605" cy="476250"/>
            <wp:effectExtent l="0" t="0" r="0" b="0"/>
            <wp:wrapNone/>
            <wp:docPr id="1203794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94374"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2839" cy="478780"/>
                    </a:xfrm>
                    <a:prstGeom prst="rect">
                      <a:avLst/>
                    </a:prstGeom>
                  </pic:spPr>
                </pic:pic>
              </a:graphicData>
            </a:graphic>
          </wp:anchor>
        </w:drawing>
      </w:r>
      <w:proofErr w:type="spellStart"/>
      <w:r>
        <w:rPr>
          <w:rFonts w:ascii="Cambria Math" w:eastAsia="Book Antiqua" w:hAnsi="Cambria Math" w:cs="Book Antiqua"/>
          <w:b/>
          <w:bCs/>
          <w:iCs/>
          <w:color w:val="000000"/>
          <w:sz w:val="20"/>
          <w:szCs w:val="20"/>
        </w:rPr>
        <w:t>Asesment</w:t>
      </w:r>
      <w:proofErr w:type="spellEnd"/>
      <w:r>
        <w:rPr>
          <w:rFonts w:ascii="Cambria Math" w:eastAsia="Book Antiqua" w:hAnsi="Cambria Math" w:cs="Book Antiqua"/>
          <w:b/>
          <w:bCs/>
          <w:iCs/>
          <w:color w:val="000000"/>
          <w:sz w:val="20"/>
          <w:szCs w:val="20"/>
        </w:rPr>
        <w:t>: Journal of Counseling Guidance</w:t>
      </w:r>
    </w:p>
    <w:p w14:paraId="707C891D" w14:textId="64A31ECD" w:rsidR="008C5517" w:rsidRDefault="008C5517">
      <w:pPr>
        <w:pBdr>
          <w:bottom w:val="single" w:sz="4" w:space="1" w:color="000000"/>
        </w:pBdr>
        <w:tabs>
          <w:tab w:val="center" w:pos="4320"/>
          <w:tab w:val="right" w:pos="8640"/>
        </w:tabs>
        <w:spacing w:after="0" w:line="240" w:lineRule="auto"/>
        <w:rPr>
          <w:rFonts w:ascii="Cambria Math" w:eastAsia="Book Antiqua" w:hAnsi="Cambria Math" w:cs="Book Antiqua"/>
          <w:iCs/>
          <w:color w:val="000000"/>
          <w:sz w:val="20"/>
          <w:szCs w:val="20"/>
        </w:rPr>
      </w:pPr>
      <w:r>
        <w:rPr>
          <w:rFonts w:ascii="Cambria Math" w:eastAsia="Book Antiqua" w:hAnsi="Cambria Math" w:cs="Book Antiqua"/>
          <w:iCs/>
          <w:color w:val="000000"/>
          <w:sz w:val="20"/>
          <w:szCs w:val="20"/>
        </w:rPr>
        <w:t xml:space="preserve">Volume </w:t>
      </w:r>
      <w:r w:rsidR="003F2FB7">
        <w:rPr>
          <w:rFonts w:ascii="Cambria Math" w:eastAsia="Book Antiqua" w:hAnsi="Cambria Math" w:cs="Book Antiqua"/>
          <w:iCs/>
          <w:color w:val="000000"/>
          <w:sz w:val="20"/>
          <w:szCs w:val="20"/>
          <w:lang w:val="id-ID"/>
        </w:rPr>
        <w:t>2</w:t>
      </w:r>
      <w:r>
        <w:rPr>
          <w:rFonts w:ascii="Cambria Math" w:eastAsia="Book Antiqua" w:hAnsi="Cambria Math" w:cs="Book Antiqua"/>
          <w:iCs/>
          <w:color w:val="000000"/>
          <w:sz w:val="20"/>
          <w:szCs w:val="20"/>
        </w:rPr>
        <w:t xml:space="preserve">, No </w:t>
      </w:r>
      <w:r w:rsidR="00F91D5C">
        <w:rPr>
          <w:rFonts w:ascii="Cambria Math" w:eastAsia="Book Antiqua" w:hAnsi="Cambria Math" w:cs="Book Antiqua"/>
          <w:iCs/>
          <w:color w:val="000000"/>
          <w:sz w:val="20"/>
          <w:szCs w:val="20"/>
          <w:lang w:val="id-ID"/>
        </w:rPr>
        <w:t>2</w:t>
      </w:r>
      <w:r>
        <w:rPr>
          <w:rFonts w:ascii="Cambria Math" w:eastAsia="Book Antiqua" w:hAnsi="Cambria Math" w:cs="Book Antiqua"/>
          <w:iCs/>
          <w:color w:val="000000"/>
          <w:sz w:val="20"/>
          <w:szCs w:val="20"/>
        </w:rPr>
        <w:t>, Month,</w:t>
      </w:r>
      <w:r w:rsidR="00EA617B">
        <w:rPr>
          <w:rFonts w:ascii="Cambria Math" w:eastAsia="Book Antiqua" w:hAnsi="Cambria Math" w:cs="Book Antiqua"/>
          <w:iCs/>
          <w:color w:val="000000"/>
          <w:sz w:val="20"/>
          <w:szCs w:val="20"/>
          <w:lang w:val="id-ID"/>
        </w:rPr>
        <w:t xml:space="preserve"> July-December</w:t>
      </w:r>
      <w:r>
        <w:rPr>
          <w:rFonts w:ascii="Cambria Math" w:eastAsia="Book Antiqua" w:hAnsi="Cambria Math" w:cs="Book Antiqua"/>
          <w:iCs/>
          <w:color w:val="000000"/>
          <w:sz w:val="20"/>
          <w:szCs w:val="20"/>
        </w:rPr>
        <w:t xml:space="preserve"> 20</w:t>
      </w:r>
      <w:r w:rsidR="00F91D5C">
        <w:rPr>
          <w:rFonts w:ascii="Cambria Math" w:eastAsia="Book Antiqua" w:hAnsi="Cambria Math" w:cs="Book Antiqua"/>
          <w:iCs/>
          <w:color w:val="000000"/>
          <w:sz w:val="20"/>
          <w:szCs w:val="20"/>
          <w:lang w:val="id-ID"/>
        </w:rPr>
        <w:t>24</w:t>
      </w:r>
      <w:r>
        <w:rPr>
          <w:rFonts w:ascii="Cambria Math" w:eastAsia="Book Antiqua" w:hAnsi="Cambria Math" w:cs="Book Antiqua"/>
          <w:iCs/>
          <w:color w:val="000000"/>
          <w:sz w:val="20"/>
          <w:szCs w:val="20"/>
        </w:rPr>
        <w:t>, pp (</w:t>
      </w:r>
      <w:r w:rsidR="00F91D5C">
        <w:rPr>
          <w:rFonts w:ascii="Cambria Math" w:eastAsia="Book Antiqua" w:hAnsi="Cambria Math" w:cs="Book Antiqua"/>
          <w:iCs/>
          <w:color w:val="000000"/>
          <w:sz w:val="20"/>
          <w:szCs w:val="20"/>
          <w:lang w:val="id-ID"/>
        </w:rPr>
        <w:t>215</w:t>
      </w:r>
      <w:r>
        <w:rPr>
          <w:rFonts w:ascii="Cambria Math" w:eastAsia="Book Antiqua" w:hAnsi="Cambria Math" w:cs="Book Antiqua"/>
          <w:iCs/>
          <w:color w:val="000000"/>
          <w:sz w:val="20"/>
          <w:szCs w:val="20"/>
        </w:rPr>
        <w:t>-</w:t>
      </w:r>
      <w:r w:rsidR="00F91D5C">
        <w:rPr>
          <w:rFonts w:ascii="Cambria Math" w:eastAsia="Book Antiqua" w:hAnsi="Cambria Math" w:cs="Book Antiqua"/>
          <w:iCs/>
          <w:color w:val="000000"/>
          <w:sz w:val="20"/>
          <w:szCs w:val="20"/>
          <w:lang w:val="id-ID"/>
        </w:rPr>
        <w:t>234</w:t>
      </w:r>
      <w:r>
        <w:rPr>
          <w:rFonts w:ascii="Cambria Math" w:eastAsia="Book Antiqua" w:hAnsi="Cambria Math" w:cs="Book Antiqua"/>
          <w:iCs/>
          <w:color w:val="000000"/>
          <w:sz w:val="20"/>
          <w:szCs w:val="20"/>
        </w:rPr>
        <w:t>)</w:t>
      </w:r>
    </w:p>
    <w:p w14:paraId="74A51A4A" w14:textId="77777777" w:rsidR="008C5517" w:rsidRDefault="008C5517">
      <w:pPr>
        <w:pBdr>
          <w:bottom w:val="single" w:sz="4" w:space="1" w:color="000000"/>
        </w:pBdr>
        <w:tabs>
          <w:tab w:val="center" w:pos="4320"/>
          <w:tab w:val="right" w:pos="8640"/>
        </w:tabs>
        <w:spacing w:after="0" w:line="240" w:lineRule="auto"/>
        <w:rPr>
          <w:rFonts w:ascii="Cambria Math" w:eastAsia="Book Antiqua" w:hAnsi="Cambria Math" w:cs="Book Antiqua"/>
          <w:iCs/>
          <w:color w:val="000000"/>
          <w:sz w:val="20"/>
          <w:szCs w:val="20"/>
          <w:lang w:val="pt-BR"/>
        </w:rPr>
      </w:pPr>
      <w:r>
        <w:rPr>
          <w:rFonts w:ascii="Cambria Math" w:eastAsia="Book Antiqua" w:hAnsi="Cambria Math" w:cs="Book Antiqua"/>
          <w:iCs/>
          <w:color w:val="000000"/>
          <w:sz w:val="20"/>
          <w:szCs w:val="20"/>
          <w:lang w:val="pt-BR"/>
        </w:rPr>
        <w:t>E-ISSN 3025-0234 | P-ISSN 2988-1633</w:t>
      </w:r>
    </w:p>
    <w:p w14:paraId="7CEE735A" w14:textId="685AFFA2" w:rsidR="008C5517" w:rsidRPr="00EA617B" w:rsidRDefault="008C5517">
      <w:pPr>
        <w:pBdr>
          <w:bottom w:val="single" w:sz="4" w:space="1" w:color="000000"/>
        </w:pBdr>
        <w:tabs>
          <w:tab w:val="center" w:pos="4320"/>
          <w:tab w:val="right" w:pos="8640"/>
        </w:tabs>
        <w:spacing w:after="0" w:line="240" w:lineRule="auto"/>
        <w:rPr>
          <w:rFonts w:ascii="Cambria Math" w:eastAsia="Book Antiqua" w:hAnsi="Cambria Math" w:cs="Book Antiqua"/>
          <w:iCs/>
          <w:color w:val="000000"/>
          <w:sz w:val="20"/>
          <w:szCs w:val="20"/>
          <w:lang w:val="id-ID"/>
        </w:rPr>
      </w:pPr>
      <w:r>
        <w:rPr>
          <w:rFonts w:ascii="Cambria Math" w:eastAsia="Book Antiqua" w:hAnsi="Cambria Math" w:cs="Book Antiqua"/>
          <w:sz w:val="20"/>
          <w:szCs w:val="20"/>
          <w:lang w:val="pt-BR"/>
        </w:rPr>
        <w:t>Doi: https:/10.59784/asesment.v</w:t>
      </w:r>
      <w:r w:rsidR="00EA617B">
        <w:rPr>
          <w:rFonts w:ascii="Cambria Math" w:eastAsia="Book Antiqua" w:hAnsi="Cambria Math" w:cs="Book Antiqua"/>
          <w:sz w:val="20"/>
          <w:szCs w:val="20"/>
          <w:lang w:val="id-ID"/>
        </w:rPr>
        <w:t>2</w:t>
      </w:r>
      <w:r>
        <w:rPr>
          <w:rFonts w:ascii="Cambria Math" w:eastAsia="Book Antiqua" w:hAnsi="Cambria Math" w:cs="Book Antiqua"/>
          <w:sz w:val="20"/>
          <w:szCs w:val="20"/>
          <w:lang w:val="pt-BR"/>
        </w:rPr>
        <w:t>i</w:t>
      </w:r>
      <w:r w:rsidR="00EA617B">
        <w:rPr>
          <w:rFonts w:ascii="Cambria Math" w:eastAsia="Book Antiqua" w:hAnsi="Cambria Math" w:cs="Book Antiqua"/>
          <w:sz w:val="20"/>
          <w:szCs w:val="20"/>
          <w:lang w:val="id-ID"/>
        </w:rPr>
        <w:t>2</w:t>
      </w:r>
      <w:r>
        <w:rPr>
          <w:rFonts w:ascii="Cambria Math" w:eastAsia="Book Antiqua" w:hAnsi="Cambria Math" w:cs="Book Antiqua"/>
          <w:sz w:val="20"/>
          <w:szCs w:val="20"/>
          <w:lang w:val="pt-BR"/>
        </w:rPr>
        <w:t>.</w:t>
      </w:r>
      <w:r w:rsidR="00EA617B">
        <w:rPr>
          <w:rFonts w:ascii="Cambria Math" w:eastAsia="Book Antiqua" w:hAnsi="Cambria Math" w:cs="Book Antiqua"/>
          <w:sz w:val="20"/>
          <w:szCs w:val="20"/>
          <w:lang w:val="id-ID"/>
        </w:rPr>
        <w:t>131</w:t>
      </w:r>
    </w:p>
    <w:p w14:paraId="62CC483E" w14:textId="77777777" w:rsidR="008C5517" w:rsidRDefault="008C5517">
      <w:pPr>
        <w:spacing w:after="0" w:line="240" w:lineRule="auto"/>
        <w:jc w:val="center"/>
        <w:rPr>
          <w:rFonts w:ascii="Cambria Math" w:eastAsia="Book Antiqua" w:hAnsi="Cambria Math" w:cs="Book Antiqua"/>
          <w:b/>
          <w:lang w:val="zh-CN"/>
        </w:rPr>
      </w:pPr>
    </w:p>
    <w:p w14:paraId="51FC58CD" w14:textId="77777777" w:rsidR="008C5517" w:rsidRDefault="008C5517">
      <w:pPr>
        <w:spacing w:after="0" w:line="240" w:lineRule="auto"/>
        <w:jc w:val="center"/>
        <w:rPr>
          <w:rFonts w:ascii="Cambria Math" w:eastAsia="Book Antiqua" w:hAnsi="Cambria Math" w:cs="Book Antiqua"/>
          <w:b/>
          <w:lang w:val="zh-CN"/>
        </w:rPr>
      </w:pPr>
      <w:r>
        <w:rPr>
          <w:rFonts w:ascii="Cambria Math" w:eastAsia="Book Antiqua" w:hAnsi="Cambria Math" w:cs="Book Antiqua"/>
          <w:b/>
          <w:lang w:val="zh-CN"/>
        </w:rPr>
        <w:t>Transforming Social Guidance in Enhancing Community Collaboration for Sustainable Development</w:t>
      </w:r>
    </w:p>
    <w:p w14:paraId="58E787FD" w14:textId="77777777" w:rsidR="008C5517" w:rsidRDefault="008C5517">
      <w:pPr>
        <w:spacing w:after="0" w:line="240" w:lineRule="auto"/>
        <w:jc w:val="center"/>
        <w:rPr>
          <w:rFonts w:ascii="Book Antiqua" w:eastAsia="Book Antiqua" w:hAnsi="Book Antiqua" w:cs="Book Antiqua"/>
        </w:rPr>
      </w:pPr>
    </w:p>
    <w:p w14:paraId="4558D4BE" w14:textId="77777777" w:rsidR="008C5517" w:rsidRPr="00EC0098" w:rsidRDefault="008C5517">
      <w:pPr>
        <w:spacing w:after="0" w:line="240" w:lineRule="auto"/>
        <w:jc w:val="center"/>
        <w:rPr>
          <w:rFonts w:ascii="Cambria Math" w:eastAsia="Book Antiqua" w:hAnsi="Cambria Math" w:cs="Book Antiqua"/>
          <w:b/>
          <w:bCs/>
        </w:rPr>
      </w:pPr>
      <w:bookmarkStart w:id="0" w:name="_Hlk222474062"/>
      <w:r w:rsidRPr="00EC0098">
        <w:rPr>
          <w:rFonts w:ascii="Cambria Math" w:eastAsia="Book Antiqua" w:hAnsi="Cambria Math" w:cs="Book Antiqua"/>
          <w:b/>
          <w:bCs/>
        </w:rPr>
        <w:t xml:space="preserve">Betsi Siti </w:t>
      </w:r>
      <w:proofErr w:type="spellStart"/>
      <w:r w:rsidRPr="00EC0098">
        <w:rPr>
          <w:rFonts w:ascii="Cambria Math" w:eastAsia="Book Antiqua" w:hAnsi="Cambria Math" w:cs="Book Antiqua"/>
          <w:b/>
          <w:bCs/>
        </w:rPr>
        <w:t>Nurhidayah</w:t>
      </w:r>
      <w:proofErr w:type="spellEnd"/>
      <w:r w:rsidRPr="00EC0098">
        <w:rPr>
          <w:rFonts w:ascii="Cambria Math" w:eastAsia="Book Antiqua" w:hAnsi="Cambria Math" w:cs="Book Antiqua"/>
          <w:b/>
          <w:bCs/>
        </w:rPr>
        <w:t xml:space="preserve"> </w:t>
      </w:r>
    </w:p>
    <w:bookmarkEnd w:id="0"/>
    <w:p w14:paraId="7BE66313" w14:textId="77777777" w:rsidR="008C5517" w:rsidRPr="003F2FB7" w:rsidRDefault="008C5517">
      <w:pPr>
        <w:spacing w:after="0" w:line="240" w:lineRule="auto"/>
        <w:jc w:val="center"/>
        <w:rPr>
          <w:rFonts w:ascii="Cambria Math" w:eastAsia="Book Antiqua" w:hAnsi="Cambria Math" w:cs="Book Antiqua"/>
          <w:sz w:val="20"/>
          <w:szCs w:val="20"/>
        </w:rPr>
      </w:pPr>
      <w:proofErr w:type="spellStart"/>
      <w:r w:rsidRPr="003F2FB7">
        <w:rPr>
          <w:rFonts w:ascii="Cambria Math" w:eastAsia="Book Antiqua" w:hAnsi="Cambria Math" w:cs="Book Antiqua"/>
          <w:sz w:val="20"/>
          <w:szCs w:val="20"/>
        </w:rPr>
        <w:t>Sekolah</w:t>
      </w:r>
      <w:proofErr w:type="spellEnd"/>
      <w:r w:rsidRPr="003F2FB7">
        <w:rPr>
          <w:rFonts w:ascii="Cambria Math" w:eastAsia="Book Antiqua" w:hAnsi="Cambria Math" w:cs="Book Antiqua"/>
          <w:sz w:val="20"/>
          <w:szCs w:val="20"/>
        </w:rPr>
        <w:t xml:space="preserve"> Tinggi Agama Islam </w:t>
      </w:r>
      <w:proofErr w:type="spellStart"/>
      <w:r w:rsidRPr="003F2FB7">
        <w:rPr>
          <w:rFonts w:ascii="Cambria Math" w:eastAsia="Book Antiqua" w:hAnsi="Cambria Math" w:cs="Book Antiqua"/>
          <w:sz w:val="20"/>
          <w:szCs w:val="20"/>
        </w:rPr>
        <w:t>Kuningan</w:t>
      </w:r>
      <w:proofErr w:type="spellEnd"/>
      <w:r w:rsidRPr="003F2FB7">
        <w:rPr>
          <w:rFonts w:ascii="Cambria Math" w:eastAsia="Book Antiqua" w:hAnsi="Cambria Math" w:cs="Book Antiqua"/>
          <w:sz w:val="20"/>
          <w:szCs w:val="20"/>
        </w:rPr>
        <w:t>, Indonesia</w:t>
      </w:r>
    </w:p>
    <w:p w14:paraId="5073B8E0" w14:textId="33BB294F" w:rsidR="008C5517" w:rsidRPr="003F2FB7" w:rsidRDefault="003F2FB7">
      <w:pPr>
        <w:spacing w:after="0" w:line="240" w:lineRule="auto"/>
        <w:jc w:val="center"/>
        <w:rPr>
          <w:rFonts w:ascii="Cambria Math" w:eastAsia="Book Antiqua" w:hAnsi="Cambria Math" w:cs="Book Antiqua"/>
          <w:sz w:val="20"/>
          <w:szCs w:val="20"/>
        </w:rPr>
      </w:pPr>
      <w:r w:rsidRPr="003F2FB7">
        <w:rPr>
          <w:rFonts w:ascii="Cambria Math" w:eastAsia="Book Antiqua" w:hAnsi="Cambria Math" w:cs="Book Antiqua"/>
          <w:sz w:val="20"/>
          <w:szCs w:val="20"/>
          <w:lang w:val="id-ID"/>
        </w:rPr>
        <w:t xml:space="preserve">Corresponding author: </w:t>
      </w:r>
      <w:r w:rsidR="008C5517" w:rsidRPr="003F2FB7">
        <w:rPr>
          <w:rFonts w:ascii="Cambria Math" w:eastAsia="Book Antiqua" w:hAnsi="Cambria Math" w:cs="Book Antiqua"/>
          <w:sz w:val="20"/>
          <w:szCs w:val="20"/>
        </w:rPr>
        <w:t>betsisiti93@gmail.com</w:t>
      </w:r>
    </w:p>
    <w:p w14:paraId="028855A7" w14:textId="77777777" w:rsidR="008C5517" w:rsidRDefault="008C5517">
      <w:pPr>
        <w:spacing w:after="0" w:line="240" w:lineRule="auto"/>
        <w:jc w:val="center"/>
        <w:rPr>
          <w:rFonts w:ascii="Cambria Math" w:eastAsia="Book Antiqua" w:hAnsi="Cambria Math" w:cs="Book Antiqua"/>
        </w:rPr>
      </w:pPr>
    </w:p>
    <w:tbl>
      <w:tblPr>
        <w:tblStyle w:val="TableGrid"/>
        <w:tblW w:w="0" w:type="auto"/>
        <w:jc w:val="center"/>
        <w:tblLook w:val="04A0" w:firstRow="1" w:lastRow="0" w:firstColumn="1" w:lastColumn="0" w:noHBand="0" w:noVBand="1"/>
      </w:tblPr>
      <w:tblGrid>
        <w:gridCol w:w="1569"/>
        <w:gridCol w:w="6373"/>
      </w:tblGrid>
      <w:tr w:rsidR="008C5517" w14:paraId="7D03AC8E" w14:textId="77777777" w:rsidTr="00DA163B">
        <w:trPr>
          <w:jc w:val="center"/>
        </w:trPr>
        <w:tc>
          <w:tcPr>
            <w:tcW w:w="1555" w:type="dxa"/>
            <w:tcBorders>
              <w:left w:val="nil"/>
              <w:bottom w:val="single" w:sz="4" w:space="0" w:color="auto"/>
              <w:right w:val="nil"/>
            </w:tcBorders>
          </w:tcPr>
          <w:p w14:paraId="434A86D7" w14:textId="77777777" w:rsidR="008C5517" w:rsidRDefault="008C5517">
            <w:pPr>
              <w:spacing w:after="0" w:line="240" w:lineRule="auto"/>
              <w:rPr>
                <w:rFonts w:ascii="Cambria Math" w:eastAsia="Book Antiqua" w:hAnsi="Cambria Math" w:cs="Book Antiqua"/>
                <w:b/>
                <w:bCs/>
                <w:sz w:val="20"/>
                <w:szCs w:val="20"/>
              </w:rPr>
            </w:pPr>
            <w:r>
              <w:rPr>
                <w:rFonts w:ascii="Cambria Math" w:eastAsia="Book Antiqua" w:hAnsi="Cambria Math" w:cs="Book Antiqua"/>
                <w:b/>
                <w:bCs/>
                <w:sz w:val="20"/>
                <w:szCs w:val="20"/>
              </w:rPr>
              <w:t xml:space="preserve">Article </w:t>
            </w:r>
            <w:proofErr w:type="gramStart"/>
            <w:r>
              <w:rPr>
                <w:rFonts w:ascii="Cambria Math" w:eastAsia="Book Antiqua" w:hAnsi="Cambria Math" w:cs="Book Antiqua"/>
                <w:b/>
                <w:bCs/>
                <w:sz w:val="20"/>
                <w:szCs w:val="20"/>
              </w:rPr>
              <w:t>Info :</w:t>
            </w:r>
            <w:proofErr w:type="gramEnd"/>
          </w:p>
        </w:tc>
        <w:tc>
          <w:tcPr>
            <w:tcW w:w="6373" w:type="dxa"/>
            <w:tcBorders>
              <w:left w:val="nil"/>
              <w:bottom w:val="single" w:sz="4" w:space="0" w:color="auto"/>
              <w:right w:val="nil"/>
            </w:tcBorders>
          </w:tcPr>
          <w:p w14:paraId="1D23AF2A" w14:textId="77777777" w:rsidR="008C5517" w:rsidRDefault="008C5517">
            <w:pPr>
              <w:spacing w:after="0" w:line="240" w:lineRule="auto"/>
              <w:jc w:val="both"/>
              <w:rPr>
                <w:rFonts w:ascii="Cambria Math" w:eastAsia="Book Antiqua" w:hAnsi="Cambria Math" w:cs="Book Antiqua"/>
                <w:b/>
                <w:color w:val="000000"/>
                <w:sz w:val="20"/>
                <w:szCs w:val="20"/>
              </w:rPr>
            </w:pPr>
            <w:r>
              <w:rPr>
                <w:rFonts w:ascii="Cambria Math" w:eastAsia="Book Antiqua" w:hAnsi="Cambria Math" w:cs="Book Antiqua"/>
                <w:b/>
                <w:color w:val="000000"/>
                <w:sz w:val="20"/>
                <w:szCs w:val="20"/>
              </w:rPr>
              <w:t>ABSTRACT</w:t>
            </w:r>
          </w:p>
        </w:tc>
      </w:tr>
      <w:tr w:rsidR="008C5517" w14:paraId="68DDCF69" w14:textId="77777777" w:rsidTr="00DA163B">
        <w:trPr>
          <w:jc w:val="center"/>
        </w:trPr>
        <w:tc>
          <w:tcPr>
            <w:tcW w:w="1555" w:type="dxa"/>
            <w:tcBorders>
              <w:left w:val="nil"/>
              <w:bottom w:val="single" w:sz="4" w:space="0" w:color="auto"/>
              <w:right w:val="nil"/>
            </w:tcBorders>
          </w:tcPr>
          <w:p w14:paraId="10FFBCAC" w14:textId="15EB01E1" w:rsidR="008C5517" w:rsidRPr="00055419" w:rsidRDefault="008C5517">
            <w:pPr>
              <w:spacing w:after="0" w:line="240" w:lineRule="auto"/>
              <w:rPr>
                <w:rFonts w:ascii="Cambria Math" w:eastAsia="Book Antiqua" w:hAnsi="Cambria Math" w:cs="Book Antiqua"/>
                <w:sz w:val="20"/>
                <w:szCs w:val="20"/>
                <w:lang w:val="id-ID"/>
              </w:rPr>
            </w:pPr>
            <w:r>
              <w:rPr>
                <w:rFonts w:ascii="Cambria Math" w:eastAsia="Book Antiqua" w:hAnsi="Cambria Math" w:cs="Book Antiqua"/>
                <w:sz w:val="20"/>
                <w:szCs w:val="20"/>
              </w:rPr>
              <w:t>Accepted:</w:t>
            </w:r>
            <w:r w:rsidR="00055419">
              <w:rPr>
                <w:rFonts w:ascii="Cambria Math" w:eastAsia="Book Antiqua" w:hAnsi="Cambria Math" w:cs="Book Antiqua"/>
                <w:sz w:val="20"/>
                <w:szCs w:val="20"/>
                <w:lang w:val="id-ID"/>
              </w:rPr>
              <w:t xml:space="preserve"> june 11, 2024</w:t>
            </w:r>
            <w:r>
              <w:rPr>
                <w:rFonts w:ascii="Cambria Math" w:eastAsia="Book Antiqua" w:hAnsi="Cambria Math" w:cs="Book Antiqua"/>
                <w:sz w:val="20"/>
                <w:szCs w:val="20"/>
              </w:rPr>
              <w:t xml:space="preserve"> Approved: </w:t>
            </w:r>
            <w:r w:rsidR="00055419">
              <w:rPr>
                <w:rFonts w:ascii="Cambria Math" w:eastAsia="Book Antiqua" w:hAnsi="Cambria Math" w:cs="Book Antiqua"/>
                <w:sz w:val="20"/>
                <w:szCs w:val="20"/>
                <w:lang w:val="id-ID"/>
              </w:rPr>
              <w:t>August 14, 2024</w:t>
            </w:r>
            <w:r>
              <w:rPr>
                <w:rFonts w:ascii="Cambria Math" w:eastAsia="Book Antiqua" w:hAnsi="Cambria Math" w:cs="Book Antiqua"/>
                <w:sz w:val="20"/>
                <w:szCs w:val="20"/>
              </w:rPr>
              <w:t xml:space="preserve"> Published: </w:t>
            </w:r>
            <w:r w:rsidR="00055419">
              <w:rPr>
                <w:rFonts w:ascii="Cambria Math" w:eastAsia="Book Antiqua" w:hAnsi="Cambria Math" w:cs="Book Antiqua"/>
                <w:sz w:val="20"/>
                <w:szCs w:val="20"/>
                <w:lang w:val="id-ID"/>
              </w:rPr>
              <w:t>October</w:t>
            </w:r>
            <w:r w:rsidR="00131944">
              <w:rPr>
                <w:rFonts w:ascii="Cambria Math" w:eastAsia="Book Antiqua" w:hAnsi="Cambria Math" w:cs="Book Antiqua"/>
                <w:sz w:val="20"/>
                <w:szCs w:val="20"/>
                <w:lang w:val="id-ID"/>
              </w:rPr>
              <w:t xml:space="preserve"> 16, 2024</w:t>
            </w:r>
            <w:bookmarkStart w:id="1" w:name="_GoBack"/>
            <w:bookmarkEnd w:id="1"/>
          </w:p>
          <w:p w14:paraId="3DF5DA57" w14:textId="77777777" w:rsidR="008C5517" w:rsidRDefault="008C5517">
            <w:pPr>
              <w:spacing w:after="0" w:line="240" w:lineRule="auto"/>
              <w:rPr>
                <w:rFonts w:ascii="Cambria Math" w:eastAsia="Book Antiqua" w:hAnsi="Cambria Math" w:cs="Book Antiqua"/>
                <w:sz w:val="20"/>
                <w:szCs w:val="20"/>
              </w:rPr>
            </w:pPr>
          </w:p>
          <w:p w14:paraId="1BC61CDD" w14:textId="77777777" w:rsidR="008C5517" w:rsidRDefault="008C5517">
            <w:pPr>
              <w:spacing w:after="0" w:line="240" w:lineRule="auto"/>
              <w:rPr>
                <w:rFonts w:ascii="Cambria Math" w:eastAsia="Book Antiqua" w:hAnsi="Cambria Math" w:cs="Book Antiqua"/>
                <w:sz w:val="20"/>
                <w:szCs w:val="20"/>
              </w:rPr>
            </w:pPr>
          </w:p>
          <w:p w14:paraId="1A4E1B49" w14:textId="77777777" w:rsidR="008C5517" w:rsidRDefault="008C5517">
            <w:pPr>
              <w:spacing w:after="0" w:line="240" w:lineRule="auto"/>
              <w:rPr>
                <w:rFonts w:ascii="Cambria Math" w:eastAsia="Book Antiqua" w:hAnsi="Cambria Math" w:cs="Book Antiqua"/>
                <w:sz w:val="20"/>
                <w:szCs w:val="20"/>
              </w:rPr>
            </w:pPr>
          </w:p>
          <w:p w14:paraId="4179808F" w14:textId="77777777" w:rsidR="008C5517" w:rsidRDefault="008C5517">
            <w:pPr>
              <w:spacing w:after="0" w:line="240" w:lineRule="auto"/>
              <w:rPr>
                <w:rFonts w:ascii="Cambria Math" w:eastAsia="Times New Roman" w:hAnsi="Cambria Math"/>
                <w:iCs/>
                <w:sz w:val="20"/>
                <w:szCs w:val="20"/>
              </w:rPr>
            </w:pPr>
          </w:p>
          <w:p w14:paraId="6D45BAE6" w14:textId="77777777" w:rsidR="008C5517" w:rsidRDefault="008C5517">
            <w:pPr>
              <w:spacing w:after="0" w:line="240" w:lineRule="auto"/>
              <w:rPr>
                <w:rFonts w:ascii="Cambria Math" w:eastAsia="Book Antiqua" w:hAnsi="Cambria Math" w:cs="Book Antiqua"/>
                <w:sz w:val="20"/>
                <w:szCs w:val="20"/>
              </w:rPr>
            </w:pPr>
          </w:p>
        </w:tc>
        <w:tc>
          <w:tcPr>
            <w:tcW w:w="6373" w:type="dxa"/>
            <w:vMerge w:val="restart"/>
            <w:tcBorders>
              <w:left w:val="nil"/>
              <w:right w:val="nil"/>
            </w:tcBorders>
          </w:tcPr>
          <w:p w14:paraId="271FF84D" w14:textId="77777777" w:rsidR="008C5517" w:rsidRDefault="008C5517">
            <w:pPr>
              <w:spacing w:after="0" w:line="240" w:lineRule="auto"/>
              <w:jc w:val="both"/>
              <w:rPr>
                <w:rFonts w:ascii="Cambria Math" w:eastAsia="Book Antiqua" w:hAnsi="Cambria Math" w:cs="Book Antiqua"/>
                <w:sz w:val="20"/>
                <w:szCs w:val="20"/>
              </w:rPr>
            </w:pPr>
            <w:r>
              <w:rPr>
                <w:rFonts w:ascii="Cambria Math" w:eastAsia="Book Antiqua" w:hAnsi="Cambria Math" w:cs="Book Antiqua"/>
                <w:sz w:val="20"/>
                <w:szCs w:val="20"/>
              </w:rPr>
              <w:t>This research examines the transformation of social guidance practices and their role in enhancing community collaboration for sustainable development. Employing a mixed-methods sequential explanatory design, the study investigates six purposively selected communities across urban, rural, and peri-urban contexts, collecting quantitative data from 300 participants and qualitative insights from 60 in-depth interviews and 12 focus group discussions. The findings reveal five distinct dimensions characterizing transformed social guidance approaches: participatory orientation, adaptive learning, asset-based orientation, relational quality, and power-sharing. Statistical analysis demonstrates that these transformation dimensions operate through multiple mechanisms including competence development, relationship formation, normative alignment, and institutional anchoring to enhance collaborative capacity. Structural equation modeling indicates significant direct and mediated effects, with participatory orientation showing a standardized coefficient of 0.41 on collaborative capacity. Communities implementing transformed approaches demonstrated substantially higher scores across all collaborative capacity indicators compared to traditional baselines, with overall mean scores of 4.13 versus 2.58 respectively. The research identifies critical contextual factors moderating effectiveness, including community heterogeneity, institutional support, and existing social capital. Enhanced community collaboration translates into tangible sustainability outcomes, with high collaborative capacity communities showing 67% greater environmental goal achievement and 34% higher economic resilience scores. The study contributes novel theoretical frameworks integrating insights from community development, sustainability science, and participatory governance literature, while generating practical implementation guidelines for development practitioners and policymakers seeking to catalyze community-driven sustainability transitions.</w:t>
            </w:r>
          </w:p>
          <w:p w14:paraId="1085676F" w14:textId="77777777" w:rsidR="008C5517" w:rsidRDefault="008C5517">
            <w:pPr>
              <w:spacing w:after="0" w:line="240" w:lineRule="auto"/>
              <w:jc w:val="center"/>
              <w:rPr>
                <w:rFonts w:ascii="Cambria Math" w:eastAsia="Book Antiqua" w:hAnsi="Cambria Math" w:cs="Book Antiqua"/>
                <w:sz w:val="20"/>
                <w:szCs w:val="20"/>
              </w:rPr>
            </w:pPr>
          </w:p>
        </w:tc>
      </w:tr>
      <w:tr w:rsidR="008C5517" w14:paraId="3A953E04" w14:textId="77777777" w:rsidTr="00DA163B">
        <w:trPr>
          <w:jc w:val="center"/>
        </w:trPr>
        <w:tc>
          <w:tcPr>
            <w:tcW w:w="1555" w:type="dxa"/>
            <w:tcBorders>
              <w:left w:val="nil"/>
              <w:right w:val="nil"/>
            </w:tcBorders>
          </w:tcPr>
          <w:p w14:paraId="206AD0EE" w14:textId="77777777" w:rsidR="008C5517" w:rsidRPr="00EC0098" w:rsidRDefault="008C5517">
            <w:pPr>
              <w:spacing w:after="0" w:line="240" w:lineRule="auto"/>
              <w:rPr>
                <w:rFonts w:ascii="Cambria Math" w:eastAsia="Times New Roman" w:hAnsi="Cambria Math"/>
                <w:iCs/>
                <w:sz w:val="20"/>
                <w:szCs w:val="20"/>
              </w:rPr>
            </w:pPr>
            <w:r w:rsidRPr="00EC0098">
              <w:rPr>
                <w:rFonts w:ascii="Cambria Math" w:eastAsia="Times New Roman" w:hAnsi="Cambria Math"/>
                <w:b/>
                <w:iCs/>
                <w:sz w:val="20"/>
                <w:szCs w:val="20"/>
              </w:rPr>
              <w:t>Keywords:</w:t>
            </w:r>
            <w:r w:rsidRPr="00EC0098">
              <w:rPr>
                <w:rFonts w:ascii="Cambria Math" w:eastAsia="Times New Roman" w:hAnsi="Cambria Math"/>
                <w:iCs/>
                <w:sz w:val="20"/>
                <w:szCs w:val="20"/>
              </w:rPr>
              <w:t xml:space="preserve"> </w:t>
            </w:r>
          </w:p>
          <w:p w14:paraId="3CDDEF83" w14:textId="77777777" w:rsidR="008C5517" w:rsidRPr="00A52424" w:rsidRDefault="008C5517">
            <w:pPr>
              <w:spacing w:after="0" w:line="240" w:lineRule="auto"/>
              <w:rPr>
                <w:rFonts w:ascii="Cambria Math" w:eastAsia="Book Antiqua" w:hAnsi="Cambria Math" w:cs="Book Antiqua"/>
                <w:sz w:val="20"/>
                <w:szCs w:val="20"/>
                <w:highlight w:val="yellow"/>
              </w:rPr>
            </w:pPr>
            <w:r w:rsidRPr="00EC0098">
              <w:rPr>
                <w:rFonts w:ascii="Cambria Math" w:eastAsia="Book Antiqua" w:hAnsi="Cambria Math" w:cs="Book Antiqua"/>
                <w:sz w:val="20"/>
                <w:szCs w:val="20"/>
              </w:rPr>
              <w:t>Social guidance transformation; community collaboration; sustainable development</w:t>
            </w:r>
          </w:p>
        </w:tc>
        <w:tc>
          <w:tcPr>
            <w:tcW w:w="6373" w:type="dxa"/>
            <w:vMerge/>
            <w:tcBorders>
              <w:left w:val="nil"/>
              <w:right w:val="nil"/>
            </w:tcBorders>
          </w:tcPr>
          <w:p w14:paraId="293A3F25" w14:textId="77777777" w:rsidR="008C5517" w:rsidRDefault="008C5517">
            <w:pPr>
              <w:spacing w:after="0" w:line="240" w:lineRule="auto"/>
              <w:jc w:val="both"/>
              <w:rPr>
                <w:rFonts w:ascii="Cambria Math" w:eastAsia="Book Antiqua" w:hAnsi="Cambria Math" w:cs="Book Antiqua"/>
                <w:sz w:val="20"/>
                <w:szCs w:val="20"/>
              </w:rPr>
            </w:pPr>
          </w:p>
        </w:tc>
      </w:tr>
    </w:tbl>
    <w:tbl>
      <w:tblPr>
        <w:tblStyle w:val="Style57"/>
        <w:tblW w:w="8151" w:type="dxa"/>
        <w:tblInd w:w="-108" w:type="dxa"/>
        <w:tblLayout w:type="fixed"/>
        <w:tblLook w:val="04A0" w:firstRow="1" w:lastRow="0" w:firstColumn="1" w:lastColumn="0" w:noHBand="0" w:noVBand="1"/>
      </w:tblPr>
      <w:tblGrid>
        <w:gridCol w:w="8151"/>
      </w:tblGrid>
      <w:tr w:rsidR="008C5517" w14:paraId="653607ED" w14:textId="77777777">
        <w:tc>
          <w:tcPr>
            <w:tcW w:w="8151" w:type="dxa"/>
            <w:vAlign w:val="center"/>
          </w:tcPr>
          <w:p w14:paraId="0A78F58D" w14:textId="77777777" w:rsidR="008C5517" w:rsidRDefault="008C5517">
            <w:pPr>
              <w:spacing w:after="0" w:line="240" w:lineRule="auto"/>
              <w:ind w:right="-49"/>
              <w:jc w:val="right"/>
              <w:rPr>
                <w:rFonts w:ascii="Cambria Math" w:eastAsia="Times New Roman" w:hAnsi="Cambria Math"/>
                <w:iCs/>
                <w:sz w:val="20"/>
                <w:szCs w:val="20"/>
                <w:lang w:val="zh-CN"/>
              </w:rPr>
            </w:pPr>
            <w:r>
              <w:rPr>
                <w:rFonts w:ascii="Cambria Math" w:eastAsia="Times New Roman" w:hAnsi="Cambria Math"/>
                <w:iCs/>
                <w:sz w:val="20"/>
                <w:szCs w:val="20"/>
                <w:lang w:val="zh-CN"/>
              </w:rPr>
              <w:t>This is an Open Access article distributed under the terms of the Creative Commons Attribution 4.0 International license</w:t>
            </w:r>
            <w:r>
              <w:rPr>
                <w:rFonts w:ascii="Cambria Math" w:eastAsia="Times New Roman" w:hAnsi="Cambria Math"/>
                <w:iCs/>
                <w:sz w:val="20"/>
                <w:szCs w:val="20"/>
              </w:rPr>
              <w:t xml:space="preserve"> </w:t>
            </w:r>
            <w:hyperlink r:id="rId10" w:history="1">
              <w:r>
                <w:rPr>
                  <w:rStyle w:val="Hyperlink"/>
                  <w:rFonts w:ascii="Cambria Math" w:eastAsia="Times New Roman" w:hAnsi="Cambria Math"/>
                  <w:iCs/>
                  <w:sz w:val="20"/>
                  <w:szCs w:val="20"/>
                </w:rPr>
                <w:t>https://creativecommons.org/licenses/by-sa/4.0/</w:t>
              </w:r>
            </w:hyperlink>
          </w:p>
          <w:p w14:paraId="5D70CA62" w14:textId="77777777" w:rsidR="008C5517" w:rsidRDefault="0058380C">
            <w:pPr>
              <w:spacing w:after="0" w:line="240" w:lineRule="auto"/>
              <w:jc w:val="right"/>
              <w:rPr>
                <w:rFonts w:ascii="Cambria Math" w:hAnsi="Cambria Math"/>
                <w:sz w:val="20"/>
                <w:szCs w:val="20"/>
              </w:rPr>
            </w:pPr>
            <w:hyperlink r:id="rId11">
              <w:r w:rsidR="008C5517">
                <w:rPr>
                  <w:rFonts w:ascii="Cambria Math" w:hAnsi="Cambria Math"/>
                  <w:noProof/>
                  <w:sz w:val="20"/>
                  <w:szCs w:val="20"/>
                </w:rPr>
                <w:drawing>
                  <wp:inline distT="0" distB="0" distL="114300" distR="114300" wp14:anchorId="5FD9A075" wp14:editId="3AED8B09">
                    <wp:extent cx="838200" cy="295275"/>
                    <wp:effectExtent l="0" t="0" r="0" b="0"/>
                    <wp:docPr id="1027" name="image1.jpg"/>
                    <wp:cNvGraphicFramePr/>
                    <a:graphic xmlns:a="http://schemas.openxmlformats.org/drawingml/2006/main">
                      <a:graphicData uri="http://schemas.openxmlformats.org/drawingml/2006/picture">
                        <pic:pic xmlns:pic="http://schemas.openxmlformats.org/drawingml/2006/picture">
                          <pic:nvPicPr>
                            <pic:cNvPr id="1027" name="image1.jpg"/>
                            <pic:cNvPicPr preferRelativeResize="0"/>
                          </pic:nvPicPr>
                          <pic:blipFill>
                            <a:blip r:embed="rId12"/>
                            <a:srcRect/>
                            <a:stretch>
                              <a:fillRect/>
                            </a:stretch>
                          </pic:blipFill>
                          <pic:spPr>
                            <a:xfrm>
                              <a:off x="0" y="0"/>
                              <a:ext cx="838200" cy="295275"/>
                            </a:xfrm>
                            <a:prstGeom prst="rect">
                              <a:avLst/>
                            </a:prstGeom>
                          </pic:spPr>
                        </pic:pic>
                      </a:graphicData>
                    </a:graphic>
                  </wp:inline>
                </w:drawing>
              </w:r>
            </w:hyperlink>
          </w:p>
          <w:p w14:paraId="4B10F93A" w14:textId="77777777" w:rsidR="008C5517" w:rsidRDefault="008C5517">
            <w:pPr>
              <w:tabs>
                <w:tab w:val="center" w:pos="4320"/>
                <w:tab w:val="right" w:pos="8640"/>
              </w:tabs>
              <w:spacing w:after="0" w:line="240" w:lineRule="auto"/>
              <w:rPr>
                <w:rFonts w:ascii="Cambria Math" w:eastAsia="Book Antiqua" w:hAnsi="Cambria Math" w:cs="Book Antiqua"/>
                <w:color w:val="000000"/>
                <w:sz w:val="20"/>
                <w:szCs w:val="20"/>
              </w:rPr>
            </w:pPr>
          </w:p>
        </w:tc>
      </w:tr>
    </w:tbl>
    <w:p w14:paraId="64DAF17A" w14:textId="77777777" w:rsidR="008C5517" w:rsidRDefault="008C5517">
      <w:pPr>
        <w:spacing w:after="0"/>
        <w:jc w:val="both"/>
        <w:rPr>
          <w:rFonts w:ascii="Cambria Math" w:eastAsia="Book Antiqua" w:hAnsi="Cambria Math" w:cs="Book Antiqua"/>
          <w:b/>
          <w:color w:val="365F91"/>
        </w:rPr>
      </w:pPr>
    </w:p>
    <w:p w14:paraId="3E6EC21E" w14:textId="77777777" w:rsidR="008C5517" w:rsidRDefault="008C5517">
      <w:pPr>
        <w:spacing w:after="0"/>
        <w:jc w:val="both"/>
        <w:rPr>
          <w:rFonts w:ascii="Cambria Math" w:eastAsia="Book Antiqua" w:hAnsi="Cambria Math" w:cs="Book Antiqua"/>
          <w:b/>
          <w:color w:val="76923C" w:themeColor="accent3" w:themeShade="BF"/>
        </w:rPr>
      </w:pPr>
      <w:r>
        <w:rPr>
          <w:rFonts w:ascii="Cambria Math" w:eastAsia="Book Antiqua" w:hAnsi="Cambria Math" w:cs="Book Antiqua"/>
          <w:b/>
          <w:color w:val="76923C" w:themeColor="accent3" w:themeShade="BF"/>
        </w:rPr>
        <w:t>INTRODUCTION</w:t>
      </w:r>
    </w:p>
    <w:p w14:paraId="3A19C8D9" w14:textId="40FFDA48" w:rsidR="008C5517" w:rsidRDefault="008C5517" w:rsidP="00A52424">
      <w:pPr>
        <w:spacing w:after="0"/>
        <w:ind w:firstLine="426"/>
        <w:jc w:val="both"/>
        <w:rPr>
          <w:rFonts w:ascii="Cambria Math" w:eastAsia="Book Antiqua" w:hAnsi="Cambria Math" w:cs="Book Antiqua"/>
        </w:rPr>
      </w:pPr>
      <w:r>
        <w:rPr>
          <w:rFonts w:ascii="Cambria Math" w:eastAsia="Book Antiqua" w:hAnsi="Cambria Math" w:cs="Book Antiqua"/>
        </w:rPr>
        <w:t xml:space="preserve">The contemporary global landscape faces unprecedented challenges in achieving sustainable development, necessitating innovative approaches to community engagement and social transformation. Social guidance, as a systematic process of facilitating behavioral change and capacity building, has emerged as a critical mechanism for fostering collaborative action </w:t>
      </w:r>
      <w:r>
        <w:rPr>
          <w:rFonts w:ascii="Cambria Math" w:eastAsia="Book Antiqua" w:hAnsi="Cambria Math" w:cs="Book Antiqua"/>
        </w:rPr>
        <w:lastRenderedPageBreak/>
        <w:t xml:space="preserve">toward sustainable development goals </w:t>
      </w:r>
      <w:hyperlink w:anchor="Williams" w:history="1">
        <w:sdt>
          <w:sdtPr>
            <w:rPr>
              <w:rStyle w:val="Hyperlink"/>
              <w:rFonts w:ascii="Cambria" w:hAnsi="Cambria" w:cs="Book Antiqua"/>
              <w:u w:val="none"/>
            </w:rPr>
            <w:tag w:val="MENDELEY_CITATION_v3_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"/>
            <w:id w:val="275755834"/>
            <w:placeholder>
              <w:docPart w:val="DefaultPlaceholder_-1854013440"/>
            </w:placeholder>
          </w:sdtPr>
          <w:sdtEndPr>
            <w:rPr>
              <w:rStyle w:val="Hyperlink"/>
              <w:rFonts w:cs="Jamia2014"/>
            </w:rPr>
          </w:sdtEndPr>
          <w:sdtContent>
            <w:r w:rsidRPr="00D00B5E">
              <w:rPr>
                <w:rStyle w:val="Hyperlink"/>
                <w:rFonts w:ascii="Cambria" w:hAnsi="Cambria"/>
                <w:u w:val="none"/>
              </w:rPr>
              <w:t>(Williams-Johnso</w:t>
            </w:r>
            <w:r w:rsidRPr="00D00B5E">
              <w:rPr>
                <w:rStyle w:val="Hyperlink"/>
                <w:rFonts w:ascii="Cambria" w:hAnsi="Cambria"/>
                <w:u w:val="none"/>
              </w:rPr>
              <w:t>n</w:t>
            </w:r>
            <w:r w:rsidRPr="00D00B5E">
              <w:rPr>
                <w:rStyle w:val="Hyperlink"/>
                <w:rFonts w:ascii="Cambria" w:hAnsi="Cambria"/>
                <w:u w:val="none"/>
              </w:rPr>
              <w:t xml:space="preserve"> &amp; Rickert, 2024)</w:t>
            </w:r>
          </w:sdtContent>
        </w:sdt>
      </w:hyperlink>
      <w:r>
        <w:rPr>
          <w:rFonts w:ascii="Cambria Math" w:eastAsia="Book Antiqua" w:hAnsi="Cambria Math" w:cs="Book Antiqua"/>
        </w:rPr>
        <w:t xml:space="preserve">. The transformation of social guidance practices from traditional, top-down approaches to more participatory and empowerment-oriented models reflects broader shifts in development paradigms that emphasize community agency and collective action. This evolution is particularly significant in the context of the 2030 Agenda for Sustainable Development, which explicitly recognizes the importance of partnerships, participation, and social cohesion in achieving environmental, economic, and social sustainability </w:t>
      </w:r>
      <w:sdt>
        <w:sdtPr>
          <w:rPr>
            <w:rFonts w:hAnsi="Cambria Math" w:cs="Book Antiqua"/>
            <w:color w:val="000000"/>
          </w:rPr>
          <w:tag w:val="MENDELEY_CITATION_v3_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"/>
          <w:id w:val="-10920513"/>
          <w:placeholder>
            <w:docPart w:val="DefaultPlaceholder_-1854013440"/>
          </w:placeholder>
        </w:sdtPr>
        <w:sdtEndPr>
          <w:rPr>
            <w:rFonts w:hAnsi="Jamia2014" w:cs="Jamia2014"/>
          </w:rPr>
        </w:sdtEndPr>
        <w:sdtContent>
          <w:r w:rsidRPr="008C5517">
            <w:rPr>
              <w:rFonts w:ascii="Cambria" w:hAnsi="Cambria"/>
              <w:color w:val="000000"/>
            </w:rPr>
            <w:t>(</w:t>
          </w:r>
          <w:proofErr w:type="spellStart"/>
          <w:r w:rsidRPr="008C5517">
            <w:rPr>
              <w:rFonts w:ascii="Cambria" w:hAnsi="Cambria"/>
              <w:color w:val="000000"/>
            </w:rPr>
            <w:fldChar w:fldCharType="begin"/>
          </w:r>
          <w:r w:rsidRPr="008C5517">
            <w:rPr>
              <w:rFonts w:ascii="Cambria" w:hAnsi="Cambria"/>
              <w:color w:val="000000"/>
            </w:rPr>
            <w:instrText>HYPERLINK  \l "Hagendijk"</w:instrText>
          </w:r>
          <w:r w:rsidRPr="008C5517">
            <w:rPr>
              <w:rFonts w:ascii="Cambria" w:hAnsi="Cambria"/>
              <w:color w:val="000000"/>
            </w:rPr>
            <w:fldChar w:fldCharType="separate"/>
          </w:r>
          <w:r w:rsidRPr="008C5517">
            <w:rPr>
              <w:rStyle w:val="Hyperlink"/>
              <w:rFonts w:ascii="Cambria" w:hAnsi="Cambria"/>
              <w:u w:val="none"/>
            </w:rPr>
            <w:t>Hagendijk</w:t>
          </w:r>
          <w:proofErr w:type="spellEnd"/>
          <w:r w:rsidRPr="008C5517">
            <w:rPr>
              <w:rStyle w:val="Hyperlink"/>
              <w:rFonts w:ascii="Cambria" w:hAnsi="Cambria"/>
              <w:u w:val="none"/>
            </w:rPr>
            <w:t xml:space="preserve"> et</w:t>
          </w:r>
          <w:r w:rsidRPr="008C5517">
            <w:rPr>
              <w:rStyle w:val="Hyperlink"/>
              <w:rFonts w:ascii="Cambria" w:hAnsi="Cambria"/>
              <w:u w:val="none"/>
            </w:rPr>
            <w:t xml:space="preserve"> </w:t>
          </w:r>
          <w:r w:rsidRPr="008C5517">
            <w:rPr>
              <w:rStyle w:val="Hyperlink"/>
              <w:rFonts w:ascii="Cambria" w:hAnsi="Cambria"/>
              <w:u w:val="none"/>
            </w:rPr>
            <w:t>al., 2024;</w:t>
          </w:r>
          <w:r w:rsidRPr="008C5517">
            <w:rPr>
              <w:rFonts w:ascii="Cambria" w:hAnsi="Cambria"/>
              <w:color w:val="000000"/>
            </w:rPr>
            <w:fldChar w:fldCharType="end"/>
          </w:r>
          <w:r w:rsidRPr="008C5517">
            <w:rPr>
              <w:color w:val="000000"/>
            </w:rPr>
            <w:t xml:space="preserve"> </w:t>
          </w:r>
          <w:hyperlink w:anchor="Williams" w:history="1">
            <w:r w:rsidRPr="00D00B5E">
              <w:rPr>
                <w:rStyle w:val="Hyperlink"/>
                <w:rFonts w:ascii="Cambria" w:hAnsi="Cambria"/>
                <w:u w:val="none"/>
              </w:rPr>
              <w:t>Williams-John</w:t>
            </w:r>
            <w:r w:rsidRPr="00D00B5E">
              <w:rPr>
                <w:rStyle w:val="Hyperlink"/>
                <w:rFonts w:ascii="Cambria" w:hAnsi="Cambria"/>
                <w:u w:val="none"/>
              </w:rPr>
              <w:t>s</w:t>
            </w:r>
            <w:r w:rsidRPr="00D00B5E">
              <w:rPr>
                <w:rStyle w:val="Hyperlink"/>
                <w:rFonts w:ascii="Cambria" w:hAnsi="Cambria"/>
                <w:u w:val="none"/>
              </w:rPr>
              <w:t>on &amp; Rickert, 2024</w:t>
            </w:r>
          </w:hyperlink>
          <w:r w:rsidRPr="008C5517">
            <w:rPr>
              <w:color w:val="000000"/>
            </w:rPr>
            <w:t>)</w:t>
          </w:r>
        </w:sdtContent>
      </w:sdt>
      <w:r>
        <w:rPr>
          <w:rFonts w:ascii="Cambria Math" w:eastAsia="Book Antiqua" w:hAnsi="Cambria Math" w:cs="Book Antiqua"/>
        </w:rPr>
        <w:t>.</w:t>
      </w:r>
    </w:p>
    <w:p w14:paraId="0A3AFF68" w14:textId="33D05C0F" w:rsidR="008C5517" w:rsidRDefault="008C5517" w:rsidP="00A52424">
      <w:pPr>
        <w:spacing w:after="0"/>
        <w:ind w:firstLine="426"/>
        <w:jc w:val="both"/>
        <w:rPr>
          <w:rFonts w:ascii="Cambria Math" w:eastAsia="Book Antiqua" w:hAnsi="Cambria Math" w:cs="Book Antiqua"/>
        </w:rPr>
      </w:pPr>
      <w:r>
        <w:rPr>
          <w:rFonts w:ascii="Cambria Math" w:eastAsia="Book Antiqua" w:hAnsi="Cambria Math" w:cs="Book Antiqua"/>
        </w:rPr>
        <w:t xml:space="preserve">Community collaboration represents a fundamental prerequisite for sustainable development, enabling diverse stakeholders to pool resources, share knowledge, and coordinate actions toward common goals. However, effective collaboration does not emerge spontaneously; it requires deliberate facilitation, trust-building mechanisms, and institutional support systems that can bridge differences in interests, capacities, and perspectives </w:t>
      </w:r>
      <w:sdt>
        <w:sdtPr>
          <w:rPr>
            <w:rFonts w:hAnsi="Cambria Math" w:cs="Book Antiqua"/>
            <w:color w:val="000000"/>
          </w:rPr>
          <w:tag w:val="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"/>
          <w:id w:val="2095887183"/>
          <w:placeholder>
            <w:docPart w:val="DefaultPlaceholder_-1854013440"/>
          </w:placeholder>
        </w:sdtPr>
        <w:sdtEndPr>
          <w:rPr>
            <w:rFonts w:hAnsi="Jamia2014" w:cs="Jamia2014"/>
          </w:rPr>
        </w:sdtEndPr>
        <w:sdtContent>
          <w:r w:rsidRPr="008C5517">
            <w:rPr>
              <w:color w:val="000000"/>
            </w:rPr>
            <w:t>(</w:t>
          </w:r>
          <w:hyperlink w:anchor="Kadio" w:history="1">
            <w:r w:rsidRPr="008C5517">
              <w:rPr>
                <w:rStyle w:val="Hyperlink"/>
                <w:rFonts w:ascii="Cambria" w:hAnsi="Cambria"/>
                <w:u w:val="none"/>
              </w:rPr>
              <w:t>Kad</w:t>
            </w:r>
            <w:r w:rsidRPr="008C5517">
              <w:rPr>
                <w:rStyle w:val="Hyperlink"/>
                <w:rFonts w:ascii="Cambria" w:hAnsi="Cambria"/>
                <w:u w:val="none"/>
              </w:rPr>
              <w:t>i</w:t>
            </w:r>
            <w:r w:rsidRPr="008C5517">
              <w:rPr>
                <w:rStyle w:val="Hyperlink"/>
                <w:rFonts w:ascii="Cambria" w:hAnsi="Cambria"/>
                <w:u w:val="none"/>
              </w:rPr>
              <w:t>o et al., 2024;</w:t>
            </w:r>
          </w:hyperlink>
          <w:r w:rsidRPr="008C5517">
            <w:rPr>
              <w:color w:val="000000"/>
            </w:rPr>
            <w:t xml:space="preserve"> </w:t>
          </w:r>
          <w:hyperlink w:anchor="Mamirov" w:history="1">
            <w:proofErr w:type="spellStart"/>
            <w:r w:rsidRPr="008C5517">
              <w:rPr>
                <w:rStyle w:val="Hyperlink"/>
                <w:rFonts w:ascii="Cambria" w:hAnsi="Cambria"/>
                <w:u w:val="none"/>
              </w:rPr>
              <w:t>Mamirov</w:t>
            </w:r>
            <w:proofErr w:type="spellEnd"/>
            <w:r w:rsidRPr="008C5517">
              <w:rPr>
                <w:rStyle w:val="Hyperlink"/>
                <w:rFonts w:ascii="Cambria" w:hAnsi="Cambria"/>
                <w:u w:val="none"/>
              </w:rPr>
              <w:t xml:space="preserve"> et a</w:t>
            </w:r>
            <w:r w:rsidRPr="008C5517">
              <w:rPr>
                <w:rStyle w:val="Hyperlink"/>
                <w:rFonts w:ascii="Cambria" w:hAnsi="Cambria"/>
                <w:u w:val="none"/>
              </w:rPr>
              <w:t>l</w:t>
            </w:r>
            <w:r w:rsidRPr="008C5517">
              <w:rPr>
                <w:rStyle w:val="Hyperlink"/>
                <w:rFonts w:ascii="Cambria" w:hAnsi="Cambria"/>
                <w:u w:val="none"/>
              </w:rPr>
              <w:t>., 2024</w:t>
            </w:r>
          </w:hyperlink>
          <w:r w:rsidRPr="008C5517">
            <w:rPr>
              <w:color w:val="000000"/>
            </w:rPr>
            <w:t>)</w:t>
          </w:r>
        </w:sdtContent>
      </w:sdt>
      <w:r>
        <w:rPr>
          <w:rFonts w:ascii="Cambria Math" w:eastAsia="Book Antiqua" w:hAnsi="Cambria Math" w:cs="Book Antiqua"/>
        </w:rPr>
        <w:t xml:space="preserve">. Social guidance interventions have demonstrated potential in catalyzing such collaborative processes by providing structured platforms for dialogue, skill development, and collective problem-solving </w:t>
      </w:r>
      <w:sdt>
        <w:sdtPr>
          <w:rPr>
            <w:rFonts w:hAnsi="Cambria Math" w:cs="Book Antiqua"/>
            <w:color w:val="000000"/>
          </w:rPr>
          <w:tag w:val="MENDELEY_CITATION_v3_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"/>
          <w:id w:val="-773630388"/>
          <w:placeholder>
            <w:docPart w:val="DefaultPlaceholder_-1854013440"/>
          </w:placeholder>
        </w:sdtPr>
        <w:sdtEndPr>
          <w:rPr>
            <w:rFonts w:hAnsi="Jamia2014" w:cs="Jamia2014"/>
          </w:rPr>
        </w:sdtEndPr>
        <w:sdtContent>
          <w:r w:rsidRPr="008C5517">
            <w:rPr>
              <w:rFonts w:ascii="Cambria" w:hAnsi="Cambria"/>
              <w:color w:val="000000"/>
            </w:rPr>
            <w:t>(</w:t>
          </w:r>
          <w:hyperlink w:anchor="Graesser" w:history="1">
            <w:r w:rsidRPr="008C5517">
              <w:rPr>
                <w:rStyle w:val="Hyperlink"/>
                <w:rFonts w:ascii="Cambria" w:hAnsi="Cambria"/>
                <w:u w:val="none"/>
              </w:rPr>
              <w:t>Graesser et</w:t>
            </w:r>
            <w:r w:rsidRPr="008C5517">
              <w:rPr>
                <w:rStyle w:val="Hyperlink"/>
                <w:rFonts w:ascii="Cambria" w:hAnsi="Cambria"/>
                <w:u w:val="none"/>
              </w:rPr>
              <w:t xml:space="preserve"> </w:t>
            </w:r>
            <w:r w:rsidRPr="008C5517">
              <w:rPr>
                <w:rStyle w:val="Hyperlink"/>
                <w:rFonts w:ascii="Cambria" w:hAnsi="Cambria"/>
                <w:u w:val="none"/>
              </w:rPr>
              <w:t>al., 2018;</w:t>
            </w:r>
          </w:hyperlink>
          <w:r w:rsidRPr="008C5517">
            <w:rPr>
              <w:color w:val="000000"/>
            </w:rPr>
            <w:t xml:space="preserve"> </w:t>
          </w:r>
          <w:hyperlink w:anchor="Koehler" w:history="1">
            <w:r w:rsidRPr="008C5517">
              <w:rPr>
                <w:rStyle w:val="Hyperlink"/>
                <w:rFonts w:ascii="Cambria" w:hAnsi="Cambria"/>
                <w:u w:val="none"/>
              </w:rPr>
              <w:t>Koehl</w:t>
            </w:r>
            <w:r w:rsidRPr="008C5517">
              <w:rPr>
                <w:rStyle w:val="Hyperlink"/>
                <w:rFonts w:ascii="Cambria" w:hAnsi="Cambria"/>
                <w:u w:val="none"/>
              </w:rPr>
              <w:t>e</w:t>
            </w:r>
            <w:r w:rsidRPr="008C5517">
              <w:rPr>
                <w:rStyle w:val="Hyperlink"/>
                <w:rFonts w:ascii="Cambria" w:hAnsi="Cambria"/>
                <w:u w:val="none"/>
              </w:rPr>
              <w:t>r &amp; Vilarinho-Pereira, 2023</w:t>
            </w:r>
          </w:hyperlink>
          <w:r w:rsidRPr="008C5517">
            <w:rPr>
              <w:color w:val="000000"/>
            </w:rPr>
            <w:t>)</w:t>
          </w:r>
        </w:sdtContent>
      </w:sdt>
      <w:r>
        <w:rPr>
          <w:rFonts w:ascii="Cambria Math" w:eastAsia="Book Antiqua" w:hAnsi="Cambria Math" w:cs="Book Antiqua"/>
        </w:rPr>
        <w:t xml:space="preserve">. The transformation of these guidance approaches to align with contemporary sustainability challenges represents both an opportunity and a necessity for development practitioners and policymakers worldwide </w:t>
      </w:r>
      <w:hyperlink w:anchor="Alvaré" w:history="1">
        <w:sdt>
          <w:sdtPr>
            <w:rPr>
              <w:rStyle w:val="Hyperlink"/>
              <w:rFonts w:ascii="Cambria" w:hAnsi="Cambria" w:cs="Book Antiqua"/>
              <w:u w:val="none"/>
            </w:rPr>
            <w:tag w:val="MENDELEY_CITATION_v3_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"/>
            <w:id w:val="-1468195948"/>
            <w:placeholder>
              <w:docPart w:val="DefaultPlaceholder_-1854013440"/>
            </w:placeholder>
          </w:sdtPr>
          <w:sdtEndPr>
            <w:rPr>
              <w:rStyle w:val="Hyperlink"/>
              <w:rFonts w:cs="Jamia2014"/>
            </w:rPr>
          </w:sdtEndPr>
          <w:sdtContent>
            <w:r w:rsidRPr="008C5517">
              <w:rPr>
                <w:rStyle w:val="Hyperlink"/>
                <w:rFonts w:ascii="Cambria" w:hAnsi="Cambria"/>
                <w:u w:val="none"/>
              </w:rPr>
              <w:t>(</w:t>
            </w:r>
            <w:proofErr w:type="spellStart"/>
            <w:r w:rsidRPr="008C5517">
              <w:rPr>
                <w:rStyle w:val="Hyperlink"/>
                <w:rFonts w:ascii="Cambria" w:hAnsi="Cambria"/>
                <w:u w:val="none"/>
              </w:rPr>
              <w:t>Alvaré</w:t>
            </w:r>
            <w:proofErr w:type="spellEnd"/>
            <w:r w:rsidRPr="008C5517">
              <w:rPr>
                <w:rStyle w:val="Hyperlink"/>
                <w:rFonts w:ascii="Cambria" w:hAnsi="Cambria"/>
                <w:u w:val="none"/>
              </w:rPr>
              <w:t>,</w:t>
            </w:r>
            <w:r w:rsidRPr="008C5517">
              <w:rPr>
                <w:rStyle w:val="Hyperlink"/>
                <w:rFonts w:ascii="Cambria" w:hAnsi="Cambria"/>
                <w:u w:val="none"/>
              </w:rPr>
              <w:t xml:space="preserve"> 2024;)</w:t>
            </w:r>
          </w:sdtContent>
        </w:sdt>
      </w:hyperlink>
      <w:r w:rsidRPr="008C5517">
        <w:rPr>
          <w:rFonts w:ascii="Cambria Math" w:eastAsia="Book Antiqua" w:hAnsi="Cambria Math" w:cs="Book Antiqua"/>
        </w:rPr>
        <w:t xml:space="preserve">. </w:t>
      </w:r>
    </w:p>
    <w:p w14:paraId="1464F2B4" w14:textId="1B09F8AF" w:rsidR="008C5517" w:rsidRDefault="008C5517" w:rsidP="00A52424">
      <w:pPr>
        <w:spacing w:after="0"/>
        <w:ind w:firstLine="426"/>
        <w:jc w:val="both"/>
        <w:rPr>
          <w:rFonts w:ascii="Cambria Math" w:eastAsia="Book Antiqua" w:hAnsi="Cambria Math" w:cs="Book Antiqua"/>
        </w:rPr>
      </w:pPr>
      <w:r>
        <w:rPr>
          <w:rFonts w:ascii="Cambria Math" w:eastAsia="Book Antiqua" w:hAnsi="Cambria Math" w:cs="Book Antiqua"/>
        </w:rPr>
        <w:t xml:space="preserve">Traditional social guidance models have historically been characterized by hierarchical knowledge transfer, expert-driven interventions, and standardized programming that often failed to account for local contexts and community assets. The transformation toward more adaptive, participatory, and context-responsive approaches reflects growing recognition that sustainable development outcomes require genuine community ownership and culturally appropriate methodologies. This paradigm shift has been influenced by critical development theories, social learning frameworks, and participatory action research traditions that emphasize co-creation of knowledge and collaborative inquiry </w:t>
      </w:r>
      <w:sdt>
        <w:sdtPr>
          <w:rPr>
            <w:rFonts w:ascii="Cambria Math" w:hAnsi="Cambria Math" w:cs="Book Antiqua"/>
            <w:color w:val="000000"/>
          </w:rPr>
          <w:tag w:val="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"/>
          <w:id w:val="-310717350"/>
          <w:placeholder>
            <w:docPart w:val="DefaultPlaceholder_-1854013440"/>
          </w:placeholder>
        </w:sdtPr>
        <w:sdtEndPr>
          <w:rPr>
            <w:rFonts w:cs="Jamia2014"/>
          </w:rPr>
        </w:sdtEndPr>
        <w:sdtContent>
          <w:r w:rsidRPr="00AB4DB3">
            <w:rPr>
              <w:rFonts w:ascii="Cambria Math" w:hAnsi="Cambria Math"/>
              <w:color w:val="000000"/>
            </w:rPr>
            <w:t>(</w:t>
          </w:r>
          <w:proofErr w:type="spellStart"/>
          <w:r w:rsidR="0058380C" w:rsidRPr="00AB4DB3">
            <w:rPr>
              <w:rFonts w:ascii="Cambria Math" w:hAnsi="Cambria Math"/>
            </w:rPr>
            <w:fldChar w:fldCharType="begin"/>
          </w:r>
          <w:r w:rsidR="0058380C" w:rsidRPr="00AB4DB3">
            <w:rPr>
              <w:rFonts w:ascii="Cambria Math" w:hAnsi="Cambria Math"/>
            </w:rPr>
            <w:instrText xml:space="preserve"> HYPERLINK \l "Qiu" </w:instrText>
          </w:r>
          <w:r w:rsidR="0058380C" w:rsidRPr="00AB4DB3">
            <w:rPr>
              <w:rFonts w:ascii="Cambria Math" w:hAnsi="Cambria Math"/>
            </w:rPr>
            <w:fldChar w:fldCharType="separate"/>
          </w:r>
          <w:r w:rsidRPr="00AB4DB3">
            <w:rPr>
              <w:rStyle w:val="Hyperlink"/>
              <w:rFonts w:ascii="Cambria Math" w:hAnsi="Cambria Math"/>
              <w:u w:val="none"/>
            </w:rPr>
            <w:t>Qiu</w:t>
          </w:r>
          <w:proofErr w:type="spellEnd"/>
          <w:r w:rsidRPr="00AB4DB3">
            <w:rPr>
              <w:rStyle w:val="Hyperlink"/>
              <w:rFonts w:ascii="Cambria Math" w:hAnsi="Cambria Math"/>
              <w:u w:val="none"/>
            </w:rPr>
            <w:t xml:space="preserve"> et</w:t>
          </w:r>
          <w:r w:rsidRPr="00AB4DB3">
            <w:rPr>
              <w:rStyle w:val="Hyperlink"/>
              <w:rFonts w:ascii="Cambria Math" w:hAnsi="Cambria Math"/>
              <w:u w:val="none"/>
            </w:rPr>
            <w:t xml:space="preserve"> </w:t>
          </w:r>
          <w:r w:rsidRPr="00AB4DB3">
            <w:rPr>
              <w:rStyle w:val="Hyperlink"/>
              <w:rFonts w:ascii="Cambria Math" w:hAnsi="Cambria Math"/>
              <w:u w:val="none"/>
            </w:rPr>
            <w:t>al., 2024;</w:t>
          </w:r>
          <w:r w:rsidR="0058380C" w:rsidRPr="00AB4DB3">
            <w:rPr>
              <w:rStyle w:val="Hyperlink"/>
              <w:rFonts w:ascii="Cambria Math" w:hAnsi="Cambria Math"/>
              <w:u w:val="none"/>
            </w:rPr>
            <w:fldChar w:fldCharType="end"/>
          </w:r>
          <w:r w:rsidRPr="00AB4DB3">
            <w:rPr>
              <w:rFonts w:ascii="Cambria Math" w:hAnsi="Cambria Math"/>
              <w:color w:val="000000"/>
            </w:rPr>
            <w:t xml:space="preserve"> </w:t>
          </w:r>
          <w:hyperlink w:anchor="Yan" w:history="1">
            <w:r w:rsidRPr="00AB4DB3">
              <w:rPr>
                <w:rStyle w:val="Hyperlink"/>
                <w:rFonts w:ascii="Cambria Math" w:hAnsi="Cambria Math"/>
                <w:u w:val="none"/>
              </w:rPr>
              <w:t>Yan</w:t>
            </w:r>
            <w:r w:rsidRPr="00AB4DB3">
              <w:rPr>
                <w:rStyle w:val="Hyperlink"/>
                <w:rFonts w:ascii="Cambria Math" w:hAnsi="Cambria Math"/>
                <w:u w:val="none"/>
              </w:rPr>
              <w:t xml:space="preserve"> </w:t>
            </w:r>
            <w:r w:rsidRPr="00AB4DB3">
              <w:rPr>
                <w:rStyle w:val="Hyperlink"/>
                <w:rFonts w:ascii="Cambria Math" w:hAnsi="Cambria Math"/>
                <w:u w:val="none"/>
              </w:rPr>
              <w:t>et al., 2024</w:t>
            </w:r>
            <w:r w:rsidRPr="00AB4DB3">
              <w:rPr>
                <w:rStyle w:val="Hyperlink"/>
                <w:rFonts w:ascii="Cambria Math" w:hAnsi="Cambria Math"/>
              </w:rPr>
              <w:t>)</w:t>
            </w:r>
          </w:hyperlink>
        </w:sdtContent>
      </w:sdt>
      <w:r>
        <w:rPr>
          <w:rFonts w:ascii="Cambria Math" w:eastAsia="Book Antiqua" w:hAnsi="Cambria Math" w:cs="Book Antiqua"/>
        </w:rPr>
        <w:t>. Contemporary social guidance practices increasingly incorporate digital technologies, peer-to-peer learning networks, and multi-stakeholder platforms that expand the reach and effectiveness of collaborative interventions.</w:t>
      </w:r>
    </w:p>
    <w:p w14:paraId="7FBFA686" w14:textId="2C218CB0" w:rsidR="008C5517" w:rsidRDefault="008C5517" w:rsidP="00A52424">
      <w:pPr>
        <w:spacing w:after="0"/>
        <w:ind w:firstLine="426"/>
        <w:jc w:val="both"/>
        <w:rPr>
          <w:rFonts w:ascii="Cambria Math" w:eastAsia="Book Antiqua" w:hAnsi="Cambria Math" w:cs="Book Antiqua"/>
        </w:rPr>
      </w:pPr>
      <w:r>
        <w:rPr>
          <w:rFonts w:ascii="Cambria Math" w:eastAsia="Book Antiqua" w:hAnsi="Cambria Math" w:cs="Book Antiqua"/>
        </w:rPr>
        <w:t xml:space="preserve">The integration of sustainability principles into social guidance frameworks has necessitated new competencies, methodological innovations, and institutional arrangements that can address complex, interconnected challenges spanning environmental conservation, economic viability, and social equity </w:t>
      </w:r>
      <w:sdt>
        <w:sdtPr>
          <w:rPr>
            <w:rFonts w:hAnsi="Cambria Math" w:cs="Book Antiqua"/>
            <w:color w:val="000000"/>
          </w:rPr>
          <w:tag w:val="MENDELEY_CITATION_v3_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"/>
          <w:id w:val="-2031951736"/>
          <w:placeholder>
            <w:docPart w:val="DefaultPlaceholder_-1854013440"/>
          </w:placeholder>
        </w:sdtPr>
        <w:sdtEndPr>
          <w:rPr>
            <w:rFonts w:hAnsi="Jamia2014" w:cs="Jamia2014"/>
          </w:rPr>
        </w:sdtEndPr>
        <w:sdtContent>
          <w:r w:rsidRPr="008C5517">
            <w:rPr>
              <w:color w:val="000000"/>
            </w:rPr>
            <w:t>(</w:t>
          </w:r>
          <w:hyperlink w:anchor="Ahmad" w:history="1">
            <w:r w:rsidRPr="008C5517">
              <w:rPr>
                <w:rStyle w:val="Hyperlink"/>
                <w:rFonts w:ascii="Cambria" w:hAnsi="Cambria"/>
                <w:u w:val="none"/>
              </w:rPr>
              <w:t>Ah</w:t>
            </w:r>
            <w:r w:rsidRPr="008C5517">
              <w:rPr>
                <w:rStyle w:val="Hyperlink"/>
                <w:rFonts w:ascii="Cambria" w:hAnsi="Cambria"/>
                <w:u w:val="none"/>
              </w:rPr>
              <w:t>m</w:t>
            </w:r>
            <w:r w:rsidRPr="008C5517">
              <w:rPr>
                <w:rStyle w:val="Hyperlink"/>
                <w:rFonts w:ascii="Cambria" w:hAnsi="Cambria"/>
                <w:u w:val="none"/>
              </w:rPr>
              <w:t>ad, 2024;</w:t>
            </w:r>
          </w:hyperlink>
          <w:r w:rsidRPr="008C5517">
            <w:rPr>
              <w:color w:val="000000"/>
            </w:rPr>
            <w:t xml:space="preserve"> </w:t>
          </w:r>
          <w:hyperlink w:anchor="Kumar" w:history="1">
            <w:r w:rsidRPr="008C5517">
              <w:rPr>
                <w:rStyle w:val="Hyperlink"/>
                <w:rFonts w:ascii="Cambria" w:hAnsi="Cambria"/>
                <w:u w:val="none"/>
              </w:rPr>
              <w:t>Ku</w:t>
            </w:r>
            <w:r w:rsidRPr="008C5517">
              <w:rPr>
                <w:rStyle w:val="Hyperlink"/>
                <w:rFonts w:ascii="Cambria" w:hAnsi="Cambria"/>
                <w:u w:val="none"/>
              </w:rPr>
              <w:t>m</w:t>
            </w:r>
            <w:r w:rsidRPr="008C5517">
              <w:rPr>
                <w:rStyle w:val="Hyperlink"/>
                <w:rFonts w:ascii="Cambria" w:hAnsi="Cambria"/>
                <w:u w:val="none"/>
              </w:rPr>
              <w:t>a</w:t>
            </w:r>
            <w:r w:rsidRPr="008C5517">
              <w:rPr>
                <w:rStyle w:val="Hyperlink"/>
                <w:rFonts w:ascii="Cambria" w:hAnsi="Cambria"/>
                <w:u w:val="none"/>
              </w:rPr>
              <w:t>r</w:t>
            </w:r>
            <w:r w:rsidRPr="008C5517">
              <w:rPr>
                <w:rStyle w:val="Hyperlink"/>
                <w:rFonts w:ascii="Cambria" w:hAnsi="Cambria"/>
                <w:u w:val="none"/>
              </w:rPr>
              <w:t xml:space="preserve"> et al., 2024</w:t>
            </w:r>
          </w:hyperlink>
          <w:r w:rsidRPr="008C5517">
            <w:rPr>
              <w:color w:val="000000"/>
            </w:rPr>
            <w:t>)</w:t>
          </w:r>
        </w:sdtContent>
      </w:sdt>
      <w:r>
        <w:rPr>
          <w:rFonts w:ascii="Cambria Math" w:eastAsia="Book Antiqua" w:hAnsi="Cambria Math" w:cs="Book Antiqua"/>
        </w:rPr>
        <w:t xml:space="preserve">. Transformative social guidance approaches seek to develop not only individual capacities but also collective capabilities for adaptive governance, systems thinking, and transformative agency </w:t>
      </w:r>
      <w:sdt>
        <w:sdtPr>
          <w:rPr>
            <w:rFonts w:hAnsi="Cambria Math" w:cs="Book Antiqua"/>
            <w:color w:val="000000"/>
          </w:rPr>
          <w:tag w:val="MENDELEY_CITATION_v3_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"/>
          <w:id w:val="1554571911"/>
          <w:placeholder>
            <w:docPart w:val="DefaultPlaceholder_-1854013440"/>
          </w:placeholder>
        </w:sdtPr>
        <w:sdtEndPr>
          <w:rPr>
            <w:rFonts w:hAnsi="Jamia2014" w:cs="Jamia2014"/>
          </w:rPr>
        </w:sdtEndPr>
        <w:sdtContent>
          <w:r w:rsidRPr="008C5517">
            <w:rPr>
              <w:color w:val="000000"/>
            </w:rPr>
            <w:t>(</w:t>
          </w:r>
          <w:hyperlink w:anchor="Lorenzetti" w:history="1">
            <w:r w:rsidRPr="008C5517">
              <w:rPr>
                <w:rStyle w:val="Hyperlink"/>
                <w:rFonts w:ascii="Cambria" w:hAnsi="Cambria"/>
                <w:u w:val="none"/>
              </w:rPr>
              <w:t>Lor</w:t>
            </w:r>
            <w:r w:rsidRPr="008C5517">
              <w:rPr>
                <w:rStyle w:val="Hyperlink"/>
                <w:rFonts w:ascii="Cambria" w:hAnsi="Cambria"/>
                <w:u w:val="none"/>
              </w:rPr>
              <w:t>e</w:t>
            </w:r>
            <w:r w:rsidRPr="008C5517">
              <w:rPr>
                <w:rStyle w:val="Hyperlink"/>
                <w:rFonts w:ascii="Cambria" w:hAnsi="Cambria"/>
                <w:u w:val="none"/>
              </w:rPr>
              <w:t>nzetti et al., 2019;</w:t>
            </w:r>
          </w:hyperlink>
          <w:r w:rsidRPr="008C5517">
            <w:rPr>
              <w:color w:val="000000"/>
            </w:rPr>
            <w:t xml:space="preserve"> </w:t>
          </w:r>
          <w:hyperlink w:anchor="Viviers" w:history="1">
            <w:r w:rsidRPr="00D00B5E">
              <w:rPr>
                <w:rStyle w:val="Hyperlink"/>
                <w:rFonts w:ascii="Cambria" w:hAnsi="Cambria"/>
                <w:u w:val="none"/>
              </w:rPr>
              <w:t>Viviers et al.,</w:t>
            </w:r>
            <w:r w:rsidRPr="00D00B5E">
              <w:rPr>
                <w:rStyle w:val="Hyperlink"/>
                <w:rFonts w:ascii="Cambria" w:hAnsi="Cambria"/>
                <w:u w:val="none"/>
              </w:rPr>
              <w:t xml:space="preserve"> </w:t>
            </w:r>
            <w:r w:rsidRPr="00D00B5E">
              <w:rPr>
                <w:rStyle w:val="Hyperlink"/>
                <w:rFonts w:ascii="Cambria" w:hAnsi="Cambria"/>
                <w:u w:val="none"/>
              </w:rPr>
              <w:t>2023</w:t>
            </w:r>
          </w:hyperlink>
          <w:r w:rsidRPr="008C5517">
            <w:rPr>
              <w:color w:val="000000"/>
            </w:rPr>
            <w:t>)</w:t>
          </w:r>
        </w:sdtContent>
      </w:sdt>
      <w:r>
        <w:rPr>
          <w:rFonts w:ascii="Cambria Math" w:eastAsia="Book Antiqua" w:hAnsi="Cambria Math" w:cs="Book Antiqua"/>
        </w:rPr>
        <w:t xml:space="preserve">. These approaches recognize that sustainable development requires fundamental shifts in values, power relations, and institutional practices, necessitating guidance processes that facilitate critical reflection, social innovation, and institutional change </w:t>
      </w:r>
      <w:hyperlink w:anchor="Dikilitaş" w:history="1">
        <w:sdt>
          <w:sdtPr>
            <w:rPr>
              <w:rStyle w:val="Hyperlink"/>
              <w:rFonts w:ascii="Cambria" w:eastAsia="Book Antiqua" w:hAnsi="Cambria" w:cs="Calibri"/>
              <w:u w:val="none"/>
            </w:rPr>
            <w:tag w:val="MENDELEY_CITATION_v3_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"/>
            <w:id w:val="-712346162"/>
            <w:placeholder>
              <w:docPart w:val="DefaultPlaceholder_-1854013440"/>
            </w:placeholder>
          </w:sdtPr>
          <w:sdtEndPr>
            <w:rPr>
              <w:rStyle w:val="Hyperlink"/>
              <w:rFonts w:eastAsia="Jamia2014"/>
            </w:rPr>
          </w:sdtEndPr>
          <w:sdtContent>
            <w:r w:rsidRPr="008C5517">
              <w:rPr>
                <w:rStyle w:val="Hyperlink"/>
                <w:rFonts w:ascii="Cambria" w:hAnsi="Cambria" w:cs="Calibri"/>
                <w:u w:val="none"/>
              </w:rPr>
              <w:t>(</w:t>
            </w:r>
            <w:proofErr w:type="spellStart"/>
            <w:r w:rsidRPr="008C5517">
              <w:rPr>
                <w:rStyle w:val="Hyperlink"/>
                <w:rFonts w:ascii="Cambria" w:hAnsi="Cambria" w:cs="Calibri"/>
                <w:u w:val="none"/>
              </w:rPr>
              <w:t>Dikilitaş</w:t>
            </w:r>
            <w:proofErr w:type="spellEnd"/>
            <w:r w:rsidRPr="008C5517">
              <w:rPr>
                <w:rStyle w:val="Hyperlink"/>
                <w:rFonts w:ascii="Cambria" w:hAnsi="Cambria" w:cs="Calibri"/>
                <w:u w:val="none"/>
              </w:rPr>
              <w:t xml:space="preserve">, </w:t>
            </w:r>
            <w:r w:rsidRPr="008C5517">
              <w:rPr>
                <w:rStyle w:val="Hyperlink"/>
                <w:rFonts w:ascii="Cambria" w:hAnsi="Cambria" w:cs="Calibri"/>
                <w:u w:val="none"/>
              </w:rPr>
              <w:t>2</w:t>
            </w:r>
            <w:r w:rsidRPr="008C5517">
              <w:rPr>
                <w:rStyle w:val="Hyperlink"/>
                <w:rFonts w:ascii="Cambria" w:hAnsi="Cambria" w:cs="Calibri"/>
                <w:u w:val="none"/>
              </w:rPr>
              <w:t>024)</w:t>
            </w:r>
          </w:sdtContent>
        </w:sdt>
      </w:hyperlink>
      <w:r>
        <w:rPr>
          <w:rFonts w:ascii="Cambria Math" w:eastAsia="Book Antiqua" w:hAnsi="Cambria Math" w:cs="Book Antiqua"/>
        </w:rPr>
        <w:t>,</w:t>
      </w:r>
    </w:p>
    <w:p w14:paraId="7664594A" w14:textId="77777777" w:rsidR="008C5517" w:rsidRDefault="008C5517" w:rsidP="00A52424">
      <w:pPr>
        <w:spacing w:after="0"/>
        <w:ind w:firstLine="426"/>
        <w:jc w:val="both"/>
        <w:rPr>
          <w:rFonts w:ascii="Cambria Math" w:eastAsia="Book Antiqua" w:hAnsi="Cambria Math" w:cs="Book Antiqua"/>
        </w:rPr>
      </w:pPr>
      <w:r>
        <w:rPr>
          <w:rFonts w:ascii="Cambria Math" w:eastAsia="Book Antiqua" w:hAnsi="Cambria Math" w:cs="Book Antiqua"/>
        </w:rPr>
        <w:t xml:space="preserve">Despite growing recognition of social guidance's importance for sustainable development, significant gaps persist in understanding how guidance practices can effectively transform to </w:t>
      </w:r>
      <w:r>
        <w:rPr>
          <w:rFonts w:ascii="Cambria Math" w:eastAsia="Book Antiqua" w:hAnsi="Cambria Math" w:cs="Book Antiqua"/>
        </w:rPr>
        <w:lastRenderedPageBreak/>
        <w:t>enhance community collaboration in diverse contexts. Existing literature remains fragmented across disciplinary boundaries, with limited synthesis of insights from community development, sustainability science, social work, and organizational learning fields. Furthermore, empirical evidence on the mechanisms through which transformed social guidance practices foster collaborative capacity, sustain engagement over time, and contribute to tangible sustainability outcomes remains incomplete and methodologically diverse. These knowledge gaps hinder the development of evidence-based guidance frameworks and limit practitioners' ability to design interventions that effectively catalyze community collaboration for sustainability transitions.</w:t>
      </w:r>
    </w:p>
    <w:p w14:paraId="02C25A68" w14:textId="1CDDB67C" w:rsidR="008C5517" w:rsidRDefault="008C5517" w:rsidP="00A52424">
      <w:pPr>
        <w:spacing w:after="0"/>
        <w:ind w:firstLine="426"/>
        <w:jc w:val="both"/>
        <w:rPr>
          <w:rFonts w:ascii="Cambria Math" w:eastAsia="Book Antiqua" w:hAnsi="Cambria Math" w:cs="Book Antiqua"/>
        </w:rPr>
      </w:pPr>
      <w:r>
        <w:rPr>
          <w:rFonts w:ascii="Cambria Math" w:eastAsia="Book Antiqua" w:hAnsi="Cambria Math" w:cs="Book Antiqua"/>
        </w:rPr>
        <w:t xml:space="preserve">The translation of social guidance transformation principles into practical implementation strategies faces numerous contextual challenges, including resource constraints, institutional barriers, power asymmetries, and diverse community capacities. Questions remain regarding optimal facilitation approaches for different community types, appropriate balance between structure and flexibility in guidance processes, and effective strategies for scaling successful collaborative models. Additionally, the role of digital transformation, social innovation, and cross-sectoral partnerships in enhancing social guidance effectiveness requires deeper investigation Understanding these dynamics is essential for developing contextually appropriate, scalable approaches to social guidance that can meaningfully contribute to sustainable development at local, regional, and national levels </w:t>
      </w:r>
      <w:hyperlink w:anchor="Hansen" w:history="1">
        <w:sdt>
          <w:sdtPr>
            <w:rPr>
              <w:rStyle w:val="Hyperlink"/>
              <w:rFonts w:ascii="Cambria" w:hAnsi="Cambria" w:cs="Book Antiqua"/>
              <w:u w:val="none"/>
            </w:rPr>
            <w:tag w:val="MENDELEY_CITATION_v3_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"/>
            <w:id w:val="-1816634314"/>
            <w:placeholder>
              <w:docPart w:val="DefaultPlaceholder_-1854013440"/>
            </w:placeholder>
          </w:sdtPr>
          <w:sdtEndPr>
            <w:rPr>
              <w:rStyle w:val="Hyperlink"/>
              <w:rFonts w:cs="Jamia2014"/>
            </w:rPr>
          </w:sdtEndPr>
          <w:sdtContent>
            <w:r w:rsidRPr="008C5517">
              <w:rPr>
                <w:rStyle w:val="Hyperlink"/>
                <w:rFonts w:ascii="Cambria" w:hAnsi="Cambria"/>
                <w:u w:val="none"/>
              </w:rPr>
              <w:t>(Hans</w:t>
            </w:r>
            <w:r w:rsidRPr="008C5517">
              <w:rPr>
                <w:rStyle w:val="Hyperlink"/>
                <w:rFonts w:ascii="Cambria" w:hAnsi="Cambria"/>
                <w:u w:val="none"/>
              </w:rPr>
              <w:t>e</w:t>
            </w:r>
            <w:r w:rsidRPr="008C5517">
              <w:rPr>
                <w:rStyle w:val="Hyperlink"/>
                <w:rFonts w:ascii="Cambria" w:hAnsi="Cambria"/>
                <w:u w:val="none"/>
              </w:rPr>
              <w:t>n et al., 2024)</w:t>
            </w:r>
          </w:sdtContent>
        </w:sdt>
      </w:hyperlink>
      <w:r>
        <w:rPr>
          <w:rFonts w:ascii="Cambria Math" w:eastAsia="Book Antiqua" w:hAnsi="Cambria Math" w:cs="Book Antiqua"/>
        </w:rPr>
        <w:t>.</w:t>
      </w:r>
    </w:p>
    <w:p w14:paraId="7512F842" w14:textId="4BCD4F54" w:rsidR="008C5517" w:rsidRDefault="008C5517" w:rsidP="00A52424">
      <w:pPr>
        <w:spacing w:after="0"/>
        <w:ind w:firstLine="426"/>
        <w:jc w:val="both"/>
        <w:rPr>
          <w:rFonts w:ascii="Cambria Math" w:eastAsia="Book Antiqua" w:hAnsi="Cambria Math" w:cs="Book Antiqua"/>
        </w:rPr>
      </w:pPr>
      <w:r>
        <w:rPr>
          <w:rFonts w:ascii="Cambria Math" w:eastAsia="Book Antiqua" w:hAnsi="Cambria Math" w:cs="Book Antiqua"/>
        </w:rPr>
        <w:t xml:space="preserve">The urgency of this research is underscored by accelerating environmental degradation, widening social inequalities, and the limited time remaining to achieve the Sustainable Development Goals by 2030. Current trajectories suggest that without significant transformations in how communities organize, collaborate, and take collective action, critical sustainability targets will remain unmet, with disproportionate impacts on vulnerable populations. Social guidance represents a scalable intervention approach that can mobilize community resources, build adaptive capacities, and foster the collaborative governance arrangements necessary for sustainability transitions </w:t>
      </w:r>
      <w:hyperlink w:anchor="Viviers" w:history="1">
        <w:sdt>
          <w:sdtPr>
            <w:rPr>
              <w:rStyle w:val="Hyperlink"/>
              <w:rFonts w:ascii="Cambria" w:hAnsi="Cambria" w:cs="Book Antiqua"/>
              <w:u w:val="none"/>
            </w:rPr>
            <w:tag w:val="MENDELEY_CITATION_v3_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"/>
            <w:id w:val="1546794473"/>
            <w:placeholder>
              <w:docPart w:val="DefaultPlaceholder_-1854013440"/>
            </w:placeholder>
          </w:sdtPr>
          <w:sdtEndPr>
            <w:rPr>
              <w:rStyle w:val="Hyperlink"/>
              <w:rFonts w:cs="Jamia2014"/>
            </w:rPr>
          </w:sdtEndPr>
          <w:sdtContent>
            <w:r w:rsidRPr="00D00B5E">
              <w:rPr>
                <w:rStyle w:val="Hyperlink"/>
                <w:rFonts w:ascii="Cambria" w:hAnsi="Cambria"/>
                <w:u w:val="none"/>
              </w:rPr>
              <w:t xml:space="preserve">(Viviers et </w:t>
            </w:r>
            <w:r w:rsidRPr="00D00B5E">
              <w:rPr>
                <w:rStyle w:val="Hyperlink"/>
                <w:rFonts w:ascii="Cambria" w:hAnsi="Cambria"/>
                <w:u w:val="none"/>
              </w:rPr>
              <w:t>a</w:t>
            </w:r>
            <w:r w:rsidRPr="00D00B5E">
              <w:rPr>
                <w:rStyle w:val="Hyperlink"/>
                <w:rFonts w:ascii="Cambria" w:hAnsi="Cambria"/>
                <w:u w:val="none"/>
              </w:rPr>
              <w:t>l., 2023</w:t>
            </w:r>
          </w:sdtContent>
        </w:sdt>
      </w:hyperlink>
      <w:r>
        <w:rPr>
          <w:rFonts w:ascii="Cambria Math" w:eastAsia="Book Antiqua" w:hAnsi="Cambria Math" w:cs="Book Antiqua"/>
        </w:rPr>
        <w:t xml:space="preserve"> </w:t>
      </w:r>
      <w:hyperlink w:anchor="Sturk" w:history="1">
        <w:sdt>
          <w:sdtPr>
            <w:rPr>
              <w:rStyle w:val="Hyperlink"/>
              <w:rFonts w:ascii="Cambria" w:hAnsi="Cambria" w:cs="Book Antiqua"/>
              <w:u w:val="none"/>
            </w:rPr>
            <w:tag w:val="MENDELEY_CITATION_v3_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"/>
            <w:id w:val="517048000"/>
            <w:placeholder>
              <w:docPart w:val="DefaultPlaceholder_-1854013440"/>
            </w:placeholder>
          </w:sdtPr>
          <w:sdtEndPr>
            <w:rPr>
              <w:rStyle w:val="Hyperlink"/>
              <w:rFonts w:cs="Jamia2014"/>
            </w:rPr>
          </w:sdtEndPr>
          <w:sdtContent>
            <w:proofErr w:type="spellStart"/>
            <w:r w:rsidRPr="00D00B5E">
              <w:rPr>
                <w:rStyle w:val="Hyperlink"/>
                <w:rFonts w:ascii="Cambria" w:hAnsi="Cambria"/>
                <w:u w:val="none"/>
              </w:rPr>
              <w:t>Sturk</w:t>
            </w:r>
            <w:r w:rsidRPr="00D00B5E">
              <w:rPr>
                <w:rStyle w:val="Hyperlink"/>
                <w:rFonts w:ascii="Cambria" w:hAnsi="Cambria"/>
                <w:u w:val="none"/>
              </w:rPr>
              <w:t>-</w:t>
            </w:r>
            <w:r w:rsidRPr="00D00B5E">
              <w:rPr>
                <w:rStyle w:val="Hyperlink"/>
                <w:rFonts w:ascii="Cambria" w:hAnsi="Cambria"/>
                <w:u w:val="none"/>
              </w:rPr>
              <w:t>Andreaggi</w:t>
            </w:r>
            <w:proofErr w:type="spellEnd"/>
            <w:r w:rsidRPr="00D00B5E">
              <w:rPr>
                <w:rStyle w:val="Hyperlink"/>
                <w:rFonts w:ascii="Cambria" w:hAnsi="Cambria"/>
                <w:u w:val="none"/>
              </w:rPr>
              <w:t xml:space="preserve"> et al., 2020)</w:t>
            </w:r>
          </w:sdtContent>
        </w:sdt>
      </w:hyperlink>
      <w:r>
        <w:rPr>
          <w:rFonts w:ascii="Cambria Math" w:eastAsia="Book Antiqua" w:hAnsi="Cambria Math" w:cs="Book Antiqua"/>
        </w:rPr>
        <w:t>. However, realizing this potential requires evidence-based understanding of transformation pathways, implementation strategies, and contextual factors that enable social guidance to effectively catalyze community collaboration.</w:t>
      </w:r>
    </w:p>
    <w:p w14:paraId="73CAE9D2" w14:textId="64C0D120" w:rsidR="008C5517" w:rsidRDefault="008C5517" w:rsidP="00A52424">
      <w:pPr>
        <w:spacing w:after="0"/>
        <w:ind w:firstLine="426"/>
        <w:jc w:val="both"/>
        <w:rPr>
          <w:rFonts w:ascii="Cambria Math" w:eastAsia="Book Antiqua" w:hAnsi="Cambria Math" w:cs="Book Antiqua"/>
        </w:rPr>
      </w:pPr>
      <w:r>
        <w:rPr>
          <w:rFonts w:ascii="Cambria Math" w:eastAsia="Book Antiqua" w:hAnsi="Cambria Math" w:cs="Book Antiqua"/>
        </w:rPr>
        <w:t xml:space="preserve">The COVID-19 pandemic has further highlighted the critical importance of community resilience, social cohesion, and collaborative problem-solving capacities, while simultaneously disrupting traditional social guidance delivery mechanisms. This context creates both challenges and opportunities for innovating social guidance approaches through hybrid delivery models, digital platforms, and community-led initiatives. Moreover, growing policy emphasis on participatory governance, social innovation, and community-based solutions to sustainability challenges creates favorable conditions for mainstreaming transformed social guidance practices. Timely research that generates actionable insights on social guidance transformation can inform policy development, program design, and capacity building initiatives at a critical juncture for sustainable development </w:t>
      </w:r>
      <w:hyperlink w:anchor="Ahmad" w:history="1">
        <w:sdt>
          <w:sdtPr>
            <w:rPr>
              <w:rStyle w:val="Hyperlink"/>
              <w:rFonts w:ascii="Cambria" w:hAnsi="Cambria" w:cs="Book Antiqua"/>
              <w:u w:val="none"/>
            </w:rPr>
            <w:tag w:val="MENDELEY_CITATION_v3_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"/>
            <w:id w:val="-617611274"/>
            <w:placeholder>
              <w:docPart w:val="DefaultPlaceholder_-1854013440"/>
            </w:placeholder>
          </w:sdtPr>
          <w:sdtEndPr>
            <w:rPr>
              <w:rStyle w:val="Hyperlink"/>
              <w:rFonts w:cs="Jamia2014"/>
            </w:rPr>
          </w:sdtEndPr>
          <w:sdtContent>
            <w:r w:rsidRPr="008C5517">
              <w:rPr>
                <w:rStyle w:val="Hyperlink"/>
                <w:rFonts w:ascii="Cambria" w:hAnsi="Cambria"/>
                <w:u w:val="none"/>
              </w:rPr>
              <w:t>(Ah</w:t>
            </w:r>
            <w:r w:rsidRPr="008C5517">
              <w:rPr>
                <w:rStyle w:val="Hyperlink"/>
                <w:rFonts w:ascii="Cambria" w:hAnsi="Cambria"/>
                <w:u w:val="none"/>
              </w:rPr>
              <w:t>m</w:t>
            </w:r>
            <w:r w:rsidRPr="008C5517">
              <w:rPr>
                <w:rStyle w:val="Hyperlink"/>
                <w:rFonts w:ascii="Cambria" w:hAnsi="Cambria"/>
                <w:u w:val="none"/>
              </w:rPr>
              <w:t>ad, 2024)</w:t>
            </w:r>
          </w:sdtContent>
        </w:sdt>
      </w:hyperlink>
      <w:r>
        <w:rPr>
          <w:rFonts w:ascii="Cambria Math" w:eastAsia="Book Antiqua" w:hAnsi="Cambria Math" w:cs="Book Antiqua"/>
        </w:rPr>
        <w:t>.</w:t>
      </w:r>
    </w:p>
    <w:p w14:paraId="4A791925" w14:textId="77777777" w:rsidR="008C5517" w:rsidRDefault="008C5517" w:rsidP="00A52424">
      <w:pPr>
        <w:spacing w:after="0"/>
        <w:ind w:firstLine="426"/>
        <w:jc w:val="both"/>
        <w:rPr>
          <w:rFonts w:ascii="Cambria Math" w:eastAsia="Book Antiqua" w:hAnsi="Cambria Math" w:cs="Book Antiqua"/>
        </w:rPr>
      </w:pPr>
      <w:r>
        <w:rPr>
          <w:rFonts w:ascii="Cambria Math" w:eastAsia="Book Antiqua" w:hAnsi="Cambria Math" w:cs="Book Antiqua"/>
        </w:rPr>
        <w:lastRenderedPageBreak/>
        <w:t>Previous research has documented various dimensions of social guidance practices, including their role in behavior change, capacity development, and community mobilization across different sectors. Studies have examined participatory approaches to development programming, demonstrating positive associations between collaborative planning processes and project sustainability. Additionally, research on community-based natural resource management, participatory governance, and social learning has provided insights into mechanisms that facilitate collective action for sustainability objectives. However, these literature streams have largely developed in parallel, with limited integration of findings into comprehensive frameworks for understanding social guidance transformation.</w:t>
      </w:r>
    </w:p>
    <w:p w14:paraId="22C68406" w14:textId="07530169" w:rsidR="008C5517" w:rsidRDefault="008C5517" w:rsidP="00A52424">
      <w:pPr>
        <w:spacing w:after="0"/>
        <w:ind w:firstLine="426"/>
        <w:jc w:val="both"/>
        <w:rPr>
          <w:rFonts w:ascii="Cambria Math" w:eastAsia="Book Antiqua" w:hAnsi="Cambria Math" w:cs="Book Antiqua"/>
        </w:rPr>
      </w:pPr>
      <w:r>
        <w:rPr>
          <w:rFonts w:ascii="Cambria Math" w:eastAsia="Book Antiqua" w:hAnsi="Cambria Math" w:cs="Book Antiqua"/>
        </w:rPr>
        <w:t xml:space="preserve">Empirical studies specifically examining the transformation of social guidance practices for enhanced community collaboration remain limited in scope and geographic coverage. Existing research has predominantly focused on program outcomes rather than transformation processes, implementation mechanisms, or contextual factors that mediate effectiveness. Furthermore, methodological diversity and limited use of longitudinal designs constrain understanding of how social guidance transformations unfold over time and their sustained impacts on collaborative capacity. These gaps highlight the need for systematic investigation of social guidance transformation processes, their mechanisms of impact on community collaboration, and contextual conditions that enable or constrain their effectiveness in advancing sustainable development </w:t>
      </w:r>
      <w:hyperlink w:anchor="Szczepanska" w:history="1">
        <w:sdt>
          <w:sdtPr>
            <w:rPr>
              <w:rStyle w:val="Hyperlink"/>
              <w:rFonts w:ascii="Cambria" w:hAnsi="Cambria" w:cs="Book Antiqua"/>
              <w:u w:val="none"/>
            </w:rPr>
            <w:tag w:val="MENDELEY_CITATION_v3_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"/>
            <w:id w:val="1429853191"/>
            <w:placeholder>
              <w:docPart w:val="DefaultPlaceholder_-1854013440"/>
            </w:placeholder>
          </w:sdtPr>
          <w:sdtEndPr>
            <w:rPr>
              <w:rStyle w:val="Hyperlink"/>
              <w:rFonts w:cs="Jamia2014"/>
            </w:rPr>
          </w:sdtEndPr>
          <w:sdtContent>
            <w:r w:rsidRPr="00D00B5E">
              <w:rPr>
                <w:rStyle w:val="Hyperlink"/>
                <w:rFonts w:ascii="Cambria" w:hAnsi="Cambria"/>
                <w:u w:val="none"/>
              </w:rPr>
              <w:t>(</w:t>
            </w:r>
            <w:proofErr w:type="spellStart"/>
            <w:r w:rsidRPr="00D00B5E">
              <w:rPr>
                <w:rStyle w:val="Hyperlink"/>
                <w:rFonts w:ascii="Cambria" w:hAnsi="Cambria"/>
                <w:u w:val="none"/>
              </w:rPr>
              <w:t>Szczepanska-Woszc</w:t>
            </w:r>
            <w:r w:rsidRPr="00D00B5E">
              <w:rPr>
                <w:rStyle w:val="Hyperlink"/>
                <w:rFonts w:ascii="Cambria" w:hAnsi="Cambria"/>
                <w:u w:val="none"/>
              </w:rPr>
              <w:t>z</w:t>
            </w:r>
            <w:r w:rsidRPr="00D00B5E">
              <w:rPr>
                <w:rStyle w:val="Hyperlink"/>
                <w:rFonts w:ascii="Cambria" w:hAnsi="Cambria"/>
                <w:u w:val="none"/>
              </w:rPr>
              <w:t>yna</w:t>
            </w:r>
            <w:proofErr w:type="spellEnd"/>
            <w:r w:rsidRPr="00D00B5E">
              <w:rPr>
                <w:rStyle w:val="Hyperlink"/>
                <w:rFonts w:ascii="Cambria" w:hAnsi="Cambria"/>
                <w:u w:val="none"/>
              </w:rPr>
              <w:t xml:space="preserve"> et al., 2024)</w:t>
            </w:r>
          </w:sdtContent>
        </w:sdt>
      </w:hyperlink>
      <w:r>
        <w:rPr>
          <w:rFonts w:ascii="Cambria Math" w:eastAsia="Book Antiqua" w:hAnsi="Cambria Math" w:cs="Book Antiqua"/>
        </w:rPr>
        <w:t>.</w:t>
      </w:r>
    </w:p>
    <w:p w14:paraId="34C39D04" w14:textId="3D26E519" w:rsidR="008C5517" w:rsidRDefault="008C5517" w:rsidP="00A52424">
      <w:pPr>
        <w:spacing w:after="0"/>
        <w:ind w:firstLine="426"/>
        <w:jc w:val="both"/>
        <w:rPr>
          <w:rFonts w:ascii="Cambria Math" w:eastAsia="Book Antiqua" w:hAnsi="Cambria Math" w:cs="Book Antiqua"/>
        </w:rPr>
      </w:pPr>
      <w:r>
        <w:rPr>
          <w:rFonts w:ascii="Cambria Math" w:eastAsia="Book Antiqua" w:hAnsi="Cambria Math" w:cs="Book Antiqua"/>
        </w:rPr>
        <w:t xml:space="preserve">This research advances existing knowledge by developing an integrated analytical framework that synthesizes insights from community development, sustainability science, organizational learning, and participatory governance literature to examine social guidance transformation comprehensively. Unlike previous studies that have examined discrete aspects of social guidance or community collaboration in isolation, this research investigates their dynamic interrelationships and transformation pathways through a multi-dimensional lens. The study provides novel empirical evidence on the mechanisms by which transformed social guidance practices enhance different dimensions of collaborative capacity, including trust-building, collective efficacy, resource mobilization, and adaptive governance capabilities. By examining these processes across diverse community contexts, the research generates contextually nuanced insights that transcend one-size-fits-all approaches to social guidance programming. </w:t>
      </w:r>
    </w:p>
    <w:p w14:paraId="4F6B7D31" w14:textId="77777777" w:rsidR="008C5517" w:rsidRDefault="008C5517" w:rsidP="00A52424">
      <w:pPr>
        <w:spacing w:after="0"/>
        <w:ind w:firstLine="426"/>
        <w:jc w:val="both"/>
        <w:rPr>
          <w:rFonts w:ascii="Cambria Math" w:eastAsia="Book Antiqua" w:hAnsi="Cambria Math" w:cs="Book Antiqua"/>
        </w:rPr>
      </w:pPr>
      <w:r>
        <w:rPr>
          <w:rFonts w:ascii="Cambria Math" w:eastAsia="Book Antiqua" w:hAnsi="Cambria Math" w:cs="Book Antiqua"/>
        </w:rPr>
        <w:t xml:space="preserve">Methodologically, this research employs innovative mixed-methods approaches that combine participatory action research, social network analysis, and longitudinal case studies to capture both transformation processes and their </w:t>
      </w:r>
      <w:proofErr w:type="gramStart"/>
      <w:r>
        <w:rPr>
          <w:rFonts w:ascii="Cambria Math" w:eastAsia="Book Antiqua" w:hAnsi="Cambria Math" w:cs="Book Antiqua"/>
        </w:rPr>
        <w:t>outcomes .</w:t>
      </w:r>
      <w:proofErr w:type="gramEnd"/>
      <w:r>
        <w:rPr>
          <w:rFonts w:ascii="Cambria Math" w:eastAsia="Book Antiqua" w:hAnsi="Cambria Math" w:cs="Book Antiqua"/>
        </w:rPr>
        <w:t xml:space="preserve"> This design enables investigation of how social guidance transformations unfold in real-world settings, the factors that facilitate or hinder implementation, and the pathways through which they influence community collaboration and sustainability </w:t>
      </w:r>
      <w:proofErr w:type="gramStart"/>
      <w:r>
        <w:rPr>
          <w:rFonts w:ascii="Cambria Math" w:eastAsia="Book Antiqua" w:hAnsi="Cambria Math" w:cs="Book Antiqua"/>
        </w:rPr>
        <w:t>outcomes .</w:t>
      </w:r>
      <w:proofErr w:type="gramEnd"/>
      <w:r>
        <w:rPr>
          <w:rFonts w:ascii="Cambria Math" w:eastAsia="Book Antiqua" w:hAnsi="Cambria Math" w:cs="Book Antiqua"/>
        </w:rPr>
        <w:t xml:space="preserve"> The research also contributes practical innovations by co-developing and testing implementation frameworks with community practitioners, ensuring findings translate into actionable guidance for program design, facilitator capacity building, and policy development. These methodological and practical </w:t>
      </w:r>
      <w:r>
        <w:rPr>
          <w:rFonts w:ascii="Cambria Math" w:eastAsia="Book Antiqua" w:hAnsi="Cambria Math" w:cs="Book Antiqua"/>
        </w:rPr>
        <w:lastRenderedPageBreak/>
        <w:t>contributions position this study to make significant advances in understanding and implementing transformative social guidance for sustainable development.</w:t>
      </w:r>
    </w:p>
    <w:p w14:paraId="69AE995D" w14:textId="77777777" w:rsidR="008C5517" w:rsidRDefault="008C5517" w:rsidP="00A52424">
      <w:pPr>
        <w:spacing w:after="0"/>
        <w:ind w:firstLine="426"/>
        <w:jc w:val="both"/>
        <w:rPr>
          <w:rFonts w:ascii="Cambria Math" w:eastAsia="Book Antiqua" w:hAnsi="Cambria Math" w:cs="Book Antiqua"/>
        </w:rPr>
      </w:pPr>
      <w:r>
        <w:rPr>
          <w:rFonts w:ascii="Cambria Math" w:eastAsia="Book Antiqua" w:hAnsi="Cambria Math" w:cs="Book Antiqua"/>
        </w:rPr>
        <w:t>This research aims to examine the transformation of social guidance practices and their role in enhancing community collaboration for sustainable development. Specifically, the objectives are: (1) to analyze the key dimensions and characteristics of transformed social guidance approaches that differentiate them from traditional models; (2) to investigate the mechanisms through which transformed social guidance practices influence different aspects of community collaborative capacity; (3) to identify contextual factors, including community characteristics, institutional arrangements, and external conditions, that mediate the effectiveness of social guidance transformation; (4) to evaluate the contributions of enhanced community collaboration to tangible sustainable development outcomes across environmental, economic, and social dimensions; and (5) to develop evidence-based frameworks and practical guidelines for implementing transformative social guidance approaches in diverse community contexts.</w:t>
      </w:r>
    </w:p>
    <w:p w14:paraId="6A3E7972" w14:textId="77777777" w:rsidR="008C5517" w:rsidRDefault="008C5517" w:rsidP="00A52424">
      <w:pPr>
        <w:spacing w:after="0"/>
        <w:ind w:firstLine="426"/>
        <w:jc w:val="both"/>
        <w:rPr>
          <w:rFonts w:ascii="Cambria Math" w:eastAsia="Book Antiqua" w:hAnsi="Cambria Math" w:cs="Book Antiqua"/>
        </w:rPr>
      </w:pPr>
      <w:r>
        <w:rPr>
          <w:rFonts w:ascii="Cambria Math" w:eastAsia="Book Antiqua" w:hAnsi="Cambria Math" w:cs="Book Antiqua"/>
        </w:rPr>
        <w:t>This research offers multiple benefits for theory, practice, and policy related to social guidance and sustainable development. Theoretically, it advances understanding of transformation processes in community development interventions, collaborative capacity building mechanisms, and the role of facilitated social learning in sustainability transitions. Practically, the research generates actionable insights for development practitioners, community facilitators, and program designers seeking to enhance the effectiveness of social guidance interventions through evidence-based approaches that foster genuine community collaboration. The findings inform capacity building initiatives for social workers, community development officers, and extension agents working at the frontline of sustainable development implementation.</w:t>
      </w:r>
    </w:p>
    <w:p w14:paraId="79C6037F" w14:textId="77777777" w:rsidR="008C5517" w:rsidRDefault="008C5517" w:rsidP="00A52424">
      <w:pPr>
        <w:spacing w:after="0"/>
        <w:ind w:firstLine="426"/>
        <w:jc w:val="both"/>
        <w:rPr>
          <w:rFonts w:ascii="Cambria Math" w:eastAsia="Book Antiqua" w:hAnsi="Cambria Math" w:cs="Book Antiqua"/>
        </w:rPr>
      </w:pPr>
      <w:r>
        <w:rPr>
          <w:rFonts w:ascii="Cambria Math" w:eastAsia="Book Antiqua" w:hAnsi="Cambria Math" w:cs="Book Antiqua"/>
        </w:rPr>
        <w:t>From a policy perspective, the research provides evidence to support the integration of transformed social guidance approaches into national and local development strategies, sustainability action plans, and community empowerment programs. The practical frameworks and implementation guidelines developed through this research can be adapted and scaled across different contexts, sectors, and geographic settings, contributing to broader efforts to accelerate progress toward the Sustainable Development Goals. For communities themselves, this research supports the development of stronger collaborative capacities, more effective collective action mechanisms, and enhanced ability to address complex sustainability challenges through locally appropriate solutions. Ultimately, by deepening understanding of how social guidance can be transformed to catalyze community collaboration, this research contributes to building more resilient, equitable, and sustainable communities capable of navigating the complex challenges of the 21st century.</w:t>
      </w:r>
    </w:p>
    <w:p w14:paraId="3C810D5B" w14:textId="77777777" w:rsidR="008C5517" w:rsidRDefault="008C5517" w:rsidP="00A52424">
      <w:pPr>
        <w:spacing w:after="0"/>
        <w:jc w:val="both"/>
        <w:rPr>
          <w:rFonts w:ascii="Cambria Math" w:eastAsia="Book Antiqua" w:hAnsi="Cambria Math" w:cs="Book Antiqua"/>
        </w:rPr>
      </w:pPr>
    </w:p>
    <w:p w14:paraId="249F0987" w14:textId="77777777" w:rsidR="008C5517" w:rsidRDefault="008C5517">
      <w:pPr>
        <w:spacing w:after="0"/>
        <w:jc w:val="both"/>
        <w:rPr>
          <w:rFonts w:ascii="Cambria Math" w:eastAsia="Book Antiqua" w:hAnsi="Cambria Math" w:cs="Book Antiqua"/>
          <w:b/>
          <w:color w:val="76923C" w:themeColor="accent3" w:themeShade="BF"/>
        </w:rPr>
      </w:pPr>
      <w:r>
        <w:rPr>
          <w:rFonts w:ascii="Cambria Math" w:eastAsia="Book Antiqua" w:hAnsi="Cambria Math" w:cs="Book Antiqua"/>
          <w:b/>
          <w:color w:val="76923C" w:themeColor="accent3" w:themeShade="BF"/>
        </w:rPr>
        <w:t>RESEARCH METHOD</w:t>
      </w:r>
    </w:p>
    <w:p w14:paraId="043D4D5F" w14:textId="7406C59E" w:rsidR="008C5517" w:rsidRDefault="008C5517" w:rsidP="00A3295E">
      <w:pPr>
        <w:spacing w:after="0"/>
        <w:ind w:firstLine="426"/>
        <w:jc w:val="both"/>
        <w:rPr>
          <w:rFonts w:ascii="Cambria Math" w:eastAsia="Book Antiqua" w:hAnsi="Cambria Math" w:cs="Book Antiqua"/>
        </w:rPr>
      </w:pPr>
      <w:r>
        <w:rPr>
          <w:rFonts w:ascii="Cambria Math" w:eastAsia="Book Antiqua" w:hAnsi="Cambria Math" w:cs="Book Antiqua"/>
        </w:rPr>
        <w:t xml:space="preserve">This research employs a mixed-methods sequential explanatory design that integrates quantitative and qualitative approaches to comprehensively examine the transformation of social guidance practices and their impact on community collaboration for sustainable </w:t>
      </w:r>
      <w:r>
        <w:rPr>
          <w:rFonts w:ascii="Cambria Math" w:eastAsia="Book Antiqua" w:hAnsi="Cambria Math" w:cs="Book Antiqua"/>
        </w:rPr>
        <w:lastRenderedPageBreak/>
        <w:t xml:space="preserve">development </w:t>
      </w:r>
      <w:hyperlink w:anchor="Creswell" w:history="1">
        <w:sdt>
          <w:sdtPr>
            <w:rPr>
              <w:rStyle w:val="Hyperlink"/>
              <w:rFonts w:ascii="Cambria" w:hAnsi="Cambria" w:cs="Book Antiqua"/>
              <w:u w:val="none"/>
            </w:rPr>
            <w:tag w:val="MENDELEY_CITATION_v3_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"/>
            <w:id w:val="-1434044163"/>
            <w:placeholder>
              <w:docPart w:val="DefaultPlaceholder_-1854013440"/>
            </w:placeholder>
          </w:sdtPr>
          <w:sdtEndPr>
            <w:rPr>
              <w:rStyle w:val="Hyperlink"/>
              <w:rFonts w:cs="Jamia2014"/>
            </w:rPr>
          </w:sdtEndPr>
          <w:sdtContent>
            <w:r w:rsidRPr="008C5517">
              <w:rPr>
                <w:rStyle w:val="Hyperlink"/>
                <w:rFonts w:ascii="Cambria" w:hAnsi="Cambria"/>
                <w:u w:val="none"/>
              </w:rPr>
              <w:t>(Creswell &amp; Poth, 2016)</w:t>
            </w:r>
          </w:sdtContent>
        </w:sdt>
      </w:hyperlink>
      <w:r>
        <w:rPr>
          <w:rFonts w:ascii="Cambria Math" w:eastAsia="Book Antiqua" w:hAnsi="Cambria Math" w:cs="Book Antiqua"/>
        </w:rPr>
        <w:t xml:space="preserve">. The sequential design begins with quantitative data collection and analysis to identify patterns, relationships, and the extent of social guidance transformation across multiple communities, followed by qualitative inquiry to explore underlying mechanisms, contextual factors, and lived experiences that explain quantitative findings. This approach is particularly appropriate for investigating complex social phenomena where numerical measurement alone cannot capture the nuanced processes of transformation and collaboration </w:t>
      </w:r>
      <w:sdt>
        <w:sdtPr>
          <w:rPr>
            <w:rFonts w:hAnsi="Cambria Math" w:cs="Book Antiqua"/>
            <w:color w:val="000000"/>
          </w:rPr>
          <w:tag w:val="MENDELEY_CITATION_v3_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"/>
          <w:id w:val="-418175154"/>
          <w:placeholder>
            <w:docPart w:val="DefaultPlaceholder_-1854013440"/>
          </w:placeholder>
        </w:sdtPr>
        <w:sdtEndPr>
          <w:rPr>
            <w:rFonts w:hAnsi="Jamia2014" w:cs="Jamia2014"/>
          </w:rPr>
        </w:sdtEndPr>
        <w:sdtContent>
          <w:r w:rsidRPr="00D00B5E">
            <w:rPr>
              <w:color w:val="000000"/>
            </w:rPr>
            <w:t>(</w:t>
          </w:r>
          <w:hyperlink w:anchor="Corrigan" w:history="1">
            <w:r w:rsidRPr="00D00B5E">
              <w:rPr>
                <w:rStyle w:val="Hyperlink"/>
                <w:rFonts w:ascii="Cambria" w:hAnsi="Cambria"/>
                <w:u w:val="none"/>
              </w:rPr>
              <w:t>Corrigan</w:t>
            </w:r>
            <w:r w:rsidRPr="00D00B5E">
              <w:rPr>
                <w:rStyle w:val="Hyperlink"/>
                <w:rFonts w:ascii="Cambria" w:hAnsi="Cambria"/>
                <w:u w:val="none"/>
              </w:rPr>
              <w:t xml:space="preserve"> </w:t>
            </w:r>
            <w:r w:rsidRPr="00D00B5E">
              <w:rPr>
                <w:rStyle w:val="Hyperlink"/>
                <w:rFonts w:ascii="Cambria" w:hAnsi="Cambria"/>
                <w:u w:val="none"/>
              </w:rPr>
              <w:t>&amp; Onwuegbuzie, 2020</w:t>
            </w:r>
          </w:hyperlink>
          <w:r w:rsidRPr="00D00B5E">
            <w:rPr>
              <w:rFonts w:ascii="Cambria" w:hAnsi="Cambria"/>
              <w:color w:val="000000"/>
            </w:rPr>
            <w:t>)</w:t>
          </w:r>
        </w:sdtContent>
      </w:sdt>
      <w:r>
        <w:rPr>
          <w:rFonts w:ascii="Cambria Math" w:eastAsia="Book Antiqua" w:hAnsi="Cambria Math" w:cs="Book Antiqua"/>
        </w:rPr>
        <w:t>. The mixed-methods design enables triangulation of findings from multiple data sources, enhancing validity and providing a more complete understanding of how social guidance transformation influences community collaborative capacity.</w:t>
      </w:r>
    </w:p>
    <w:p w14:paraId="3ECDFA5F" w14:textId="1FCB1E40" w:rsidR="008C5517" w:rsidRDefault="008C5517" w:rsidP="00A3295E">
      <w:pPr>
        <w:spacing w:after="0"/>
        <w:ind w:firstLine="426"/>
        <w:jc w:val="both"/>
        <w:rPr>
          <w:rFonts w:ascii="Cambria Math" w:eastAsia="Book Antiqua" w:hAnsi="Cambria Math" w:cs="Book Antiqua"/>
        </w:rPr>
      </w:pPr>
      <w:r>
        <w:rPr>
          <w:rFonts w:ascii="Cambria Math" w:eastAsia="Book Antiqua" w:hAnsi="Cambria Math" w:cs="Book Antiqua"/>
        </w:rPr>
        <w:t xml:space="preserve">The research is grounded in a pragmatist philosophical paradigm that prioritizes practical problem-solving and actionable knowledge generation while acknowledging multiple ways of knowing and understanding social reality </w:t>
      </w:r>
      <w:hyperlink w:anchor="Marroquín" w:history="1">
        <w:sdt>
          <w:sdtPr>
            <w:rPr>
              <w:rStyle w:val="Hyperlink"/>
              <w:rFonts w:ascii="Cambria" w:hAnsi="Cambria" w:cs="Book Antiqua"/>
              <w:u w:val="none"/>
            </w:rPr>
            <w:tag w:val="MENDELEY_CITATION_v3_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"/>
            <w:id w:val="-831606819"/>
            <w:placeholder>
              <w:docPart w:val="DefaultPlaceholder_-1854013440"/>
            </w:placeholder>
          </w:sdtPr>
          <w:sdtEndPr>
            <w:rPr>
              <w:rStyle w:val="Hyperlink"/>
              <w:rFonts w:cs="Jamia2014"/>
            </w:rPr>
          </w:sdtEndPr>
          <w:sdtContent>
            <w:r w:rsidRPr="00D00B5E">
              <w:rPr>
                <w:rStyle w:val="Hyperlink"/>
                <w:rFonts w:ascii="Cambria" w:hAnsi="Cambria"/>
                <w:u w:val="none"/>
              </w:rPr>
              <w:t>(Marroqu</w:t>
            </w:r>
            <w:r w:rsidRPr="00D00B5E">
              <w:rPr>
                <w:rStyle w:val="Hyperlink"/>
                <w:rFonts w:ascii="Cambria" w:hAnsi="Cambria"/>
                <w:u w:val="none"/>
              </w:rPr>
              <w:t>í</w:t>
            </w:r>
            <w:r w:rsidRPr="00D00B5E">
              <w:rPr>
                <w:rStyle w:val="Hyperlink"/>
                <w:rFonts w:ascii="Cambria" w:hAnsi="Cambria"/>
                <w:u w:val="none"/>
              </w:rPr>
              <w:t>n et al., 2020)</w:t>
            </w:r>
          </w:sdtContent>
        </w:sdt>
      </w:hyperlink>
      <w:r>
        <w:rPr>
          <w:rFonts w:ascii="Cambria Math" w:eastAsia="Book Antiqua" w:hAnsi="Cambria Math" w:cs="Book Antiqua"/>
        </w:rPr>
        <w:t>. This paradigm aligns with the study's objective of developing evidence-based frameworks that can inform real-world practice in diverse community contexts. Additionally, the research incorporates elements of participatory action research (PAR), engaging community members and practitioners as co-researchers throughout the research process to ensure cultural relevance, practical utility, and ethical engagement. This participatory dimension enhances both the validity of findings through insider perspectives and the likelihood of research uptake through stakeholder ownership.</w:t>
      </w:r>
    </w:p>
    <w:p w14:paraId="7F0AE593" w14:textId="77777777" w:rsidR="008C5517" w:rsidRDefault="008C5517" w:rsidP="00A3295E">
      <w:pPr>
        <w:spacing w:after="0"/>
        <w:ind w:firstLine="426"/>
        <w:jc w:val="both"/>
        <w:rPr>
          <w:rFonts w:ascii="Cambria Math" w:eastAsia="Book Antiqua" w:hAnsi="Cambria Math" w:cs="Book Antiqua"/>
        </w:rPr>
      </w:pPr>
      <w:r>
        <w:rPr>
          <w:rFonts w:ascii="Cambria Math" w:eastAsia="Book Antiqua" w:hAnsi="Cambria Math" w:cs="Book Antiqua"/>
        </w:rPr>
        <w:t>The research is conducted across six purposively selected communities representing diverse geographic, socioeconomic, and ecological contexts to enable comparative analysis and enhance transferability of findings. Selection criteria include: (1) communities currently implementing or having recently implemented social guidance programs with sustainability objectives; (2) variation in community size, urban-rural classification, and socioeconomic development levels; (3) diversity in primary sustainability challenges (e.g., natural resource management, waste management, climate adaptation, economic development); (4) accessibility for sustained researcher engagement; and (5) willingness of community leaders and members to participate in the research. The selected communities include two urban neighborhoods, two rural villages, and two peri-urban settlements across different regions to capture contextual variations that may influence social guidance transformation and collaborative outcomes.</w:t>
      </w:r>
    </w:p>
    <w:p w14:paraId="60163B27" w14:textId="367F9838" w:rsidR="008C5517" w:rsidRDefault="008C5517" w:rsidP="00A3295E">
      <w:pPr>
        <w:spacing w:after="0"/>
        <w:ind w:firstLine="426"/>
        <w:jc w:val="both"/>
        <w:rPr>
          <w:rFonts w:ascii="Cambria Math" w:eastAsia="Book Antiqua" w:hAnsi="Cambria Math" w:cs="Book Antiqua"/>
          <w:lang w:val="zh-CN"/>
        </w:rPr>
      </w:pPr>
      <w:r>
        <w:rPr>
          <w:rFonts w:ascii="Cambria Math" w:eastAsia="Book Antiqua" w:hAnsi="Cambria Math" w:cs="Book Antiqua"/>
          <w:lang w:val="zh-CN"/>
        </w:rPr>
        <w:t xml:space="preserve">For the qualitative component, purposive and snowball sampling strategies are utilized to select information-rich cases and key informants who can provide deep insights into transformation processes and collaborative dynamics. Approximately 60 in-depth interviews are conducted with community members representing diverse perspectives and roles (10 per site), ensuring maximum variation sampling to capture heterogeneity in experiences and perceptions. Additionally, 18 key informant interviews are conducted with facilitators, program managers, and organizational leaders (3 per site) to understand implementation perspectives and institutional factors </w:t>
      </w:r>
      <w:r w:rsidR="00D00B5E">
        <w:rPr>
          <w:rFonts w:hAnsi="Cambria Math" w:cs="Book Antiqua"/>
          <w:color w:val="000000"/>
          <w:lang w:val="zh-CN"/>
        </w:rPr>
        <w:fldChar w:fldCharType="begin"/>
      </w:r>
      <w:r w:rsidR="00D00B5E">
        <w:rPr>
          <w:rFonts w:hAnsi="Cambria Math" w:cs="Book Antiqua"/>
          <w:color w:val="000000"/>
          <w:lang w:val="zh-CN"/>
        </w:rPr>
        <w:instrText>HYPERLINK  \l "Sturk"</w:instrText>
      </w:r>
      <w:r w:rsidR="00D00B5E">
        <w:rPr>
          <w:rFonts w:hAnsi="Cambria Math" w:cs="Book Antiqua"/>
          <w:color w:val="000000"/>
          <w:lang w:val="zh-CN"/>
        </w:rPr>
        <w:fldChar w:fldCharType="separate"/>
      </w:r>
      <w:sdt>
        <w:sdtPr>
          <w:rPr>
            <w:rStyle w:val="Hyperlink"/>
            <w:rFonts w:ascii="Cambria" w:hAnsi="Cambria" w:cs="Book Antiqua"/>
            <w:u w:val="none"/>
            <w:lang w:val="zh-CN"/>
          </w:rPr>
          <w:tag w:val="MENDELEY_CITATION_v3_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"/>
          <w:id w:val="-1264069213"/>
          <w:placeholder>
            <w:docPart w:val="DefaultPlaceholder_-1854013440"/>
          </w:placeholder>
        </w:sdtPr>
        <w:sdtEndPr>
          <w:rPr>
            <w:rStyle w:val="Hyperlink"/>
            <w:rFonts w:cs="Jamia2014"/>
            <w:lang w:val="en-US"/>
          </w:rPr>
        </w:sdtEndPr>
        <w:sdtContent>
          <w:r w:rsidRPr="00D00B5E">
            <w:rPr>
              <w:rStyle w:val="Hyperlink"/>
              <w:rFonts w:ascii="Cambria" w:hAnsi="Cambria"/>
              <w:u w:val="none"/>
            </w:rPr>
            <w:t>(</w:t>
          </w:r>
          <w:proofErr w:type="spellStart"/>
          <w:r w:rsidRPr="00D00B5E">
            <w:rPr>
              <w:rStyle w:val="Hyperlink"/>
              <w:rFonts w:ascii="Cambria" w:hAnsi="Cambria"/>
              <w:u w:val="none"/>
            </w:rPr>
            <w:t>Sturk-Andr</w:t>
          </w:r>
          <w:r w:rsidRPr="00D00B5E">
            <w:rPr>
              <w:rStyle w:val="Hyperlink"/>
              <w:rFonts w:ascii="Cambria" w:hAnsi="Cambria"/>
              <w:u w:val="none"/>
            </w:rPr>
            <w:t>e</w:t>
          </w:r>
          <w:r w:rsidRPr="00D00B5E">
            <w:rPr>
              <w:rStyle w:val="Hyperlink"/>
              <w:rFonts w:ascii="Cambria" w:hAnsi="Cambria"/>
              <w:u w:val="none"/>
            </w:rPr>
            <w:t>aggi</w:t>
          </w:r>
          <w:proofErr w:type="spellEnd"/>
          <w:r w:rsidRPr="00D00B5E">
            <w:rPr>
              <w:rStyle w:val="Hyperlink"/>
              <w:rFonts w:ascii="Cambria" w:hAnsi="Cambria"/>
              <w:u w:val="none"/>
            </w:rPr>
            <w:t xml:space="preserve"> et al., 2020)</w:t>
          </w:r>
        </w:sdtContent>
      </w:sdt>
      <w:r w:rsidR="00D00B5E">
        <w:rPr>
          <w:rFonts w:hAnsi="Cambria Math" w:cs="Book Antiqua"/>
          <w:color w:val="000000"/>
          <w:lang w:val="zh-CN"/>
        </w:rPr>
        <w:fldChar w:fldCharType="end"/>
      </w:r>
      <w:r>
        <w:rPr>
          <w:rFonts w:ascii="Cambria Math" w:eastAsia="Book Antiqua" w:hAnsi="Cambria Math" w:cs="Book Antiqua"/>
          <w:lang w:val="zh-CN"/>
        </w:rPr>
        <w:t xml:space="preserve">. Focus group discussions involve 6-8 participants each, with 12 groups conducted across sites (2 per site), organized by </w:t>
      </w:r>
      <w:r>
        <w:rPr>
          <w:rFonts w:ascii="Cambria Math" w:eastAsia="Book Antiqua" w:hAnsi="Cambria Math" w:cs="Book Antiqua"/>
          <w:lang w:val="zh-CN"/>
        </w:rPr>
        <w:lastRenderedPageBreak/>
        <w:t>stakeholder type to encourage open discussion and reveal collective perspectives on collaboration processes. Sampling continues until data saturation is achieved, when no new substantive themes emerge from additional data collection.</w:t>
      </w:r>
    </w:p>
    <w:p w14:paraId="4FE81FA8" w14:textId="1E41FD53" w:rsidR="008C5517" w:rsidRDefault="008C5517" w:rsidP="00A3295E">
      <w:pPr>
        <w:spacing w:after="0"/>
        <w:ind w:firstLine="426"/>
        <w:jc w:val="both"/>
        <w:rPr>
          <w:rFonts w:ascii="Cambria Math" w:eastAsia="Book Antiqua" w:hAnsi="Cambria Math" w:cs="Book Antiqua"/>
          <w:lang w:val="zh-CN"/>
        </w:rPr>
      </w:pPr>
      <w:r>
        <w:rPr>
          <w:rFonts w:ascii="Cambria Math" w:eastAsia="Book Antiqua" w:hAnsi="Cambria Math" w:cs="Book Antiqua"/>
          <w:lang w:val="zh-CN"/>
        </w:rPr>
        <w:t xml:space="preserve">Quantitative data is collected through structured surveys administered to community members using validated instruments adapted from existing scales measuring collaborative capacity, social capital, community resilience, and sustainable development outcomes. The survey instrument includes sections assessing: (1) characteristics of social guidance practices experienced (e.g., participatory approaches, facilitation quality, learning methods); (2) dimensions of collaborative capacity (trust, shared vision, communication effectiveness, conflict resolution, resource mobilization); (3) individual and collective outcomes (knowledge gains, behavior changes, empowerment, collective efficacy); and (4) perceived contributions to sustainability objectives (environmental, economic, social) </w:t>
      </w:r>
      <w:r w:rsidR="002E0E0C" w:rsidRPr="002E0E0C">
        <w:rPr>
          <w:rFonts w:ascii="Cambria Math" w:eastAsia="Book Antiqua" w:hAnsi="Cambria Math" w:cs="Book Antiqua"/>
          <w:lang w:val="zh-CN"/>
        </w:rPr>
        <w:fldChar w:fldCharType="begin"/>
      </w:r>
      <w:r w:rsidR="002E0E0C" w:rsidRPr="002E0E0C">
        <w:rPr>
          <w:rFonts w:ascii="Cambria Math" w:eastAsia="Book Antiqua" w:hAnsi="Cambria Math" w:cs="Book Antiqua"/>
          <w:lang w:val="zh-CN"/>
        </w:rPr>
        <w:instrText>HYPERLINK  \l "Creswell"</w:instrText>
      </w:r>
      <w:r w:rsidR="002E0E0C" w:rsidRPr="002E0E0C">
        <w:rPr>
          <w:rFonts w:ascii="Cambria Math" w:eastAsia="Book Antiqua" w:hAnsi="Cambria Math" w:cs="Book Antiqua"/>
          <w:lang w:val="zh-CN"/>
        </w:rPr>
        <w:fldChar w:fldCharType="separate"/>
      </w:r>
      <w:r w:rsidRPr="002E0E0C">
        <w:rPr>
          <w:rStyle w:val="Hyperlink"/>
          <w:rFonts w:ascii="Cambria Math" w:eastAsia="Book Antiqua" w:hAnsi="Cambria Math" w:cs="Book Antiqua"/>
          <w:u w:val="none"/>
          <w:lang w:val="zh-CN"/>
        </w:rPr>
        <w:t xml:space="preserve">(Creswell </w:t>
      </w:r>
      <w:r w:rsidRPr="002E0E0C">
        <w:rPr>
          <w:rStyle w:val="Hyperlink"/>
          <w:rFonts w:ascii="Cambria Math" w:eastAsia="Book Antiqua" w:hAnsi="Cambria Math" w:cs="Book Antiqua"/>
          <w:u w:val="none"/>
          <w:lang w:val="zh-CN"/>
        </w:rPr>
        <w:t>&amp;</w:t>
      </w:r>
      <w:r w:rsidRPr="002E0E0C">
        <w:rPr>
          <w:rStyle w:val="Hyperlink"/>
          <w:rFonts w:ascii="Cambria Math" w:eastAsia="Book Antiqua" w:hAnsi="Cambria Math" w:cs="Book Antiqua"/>
          <w:u w:val="none"/>
          <w:lang w:val="zh-CN"/>
        </w:rPr>
        <w:t xml:space="preserve"> Creswell, 2024).</w:t>
      </w:r>
      <w:r w:rsidR="002E0E0C" w:rsidRPr="002E0E0C">
        <w:rPr>
          <w:rFonts w:ascii="Cambria Math" w:eastAsia="Book Antiqua" w:hAnsi="Cambria Math" w:cs="Book Antiqua"/>
          <w:lang w:val="zh-CN"/>
        </w:rPr>
        <w:fldChar w:fldCharType="end"/>
      </w:r>
      <w:r>
        <w:rPr>
          <w:rFonts w:ascii="Cambria Math" w:eastAsia="Book Antiqua" w:hAnsi="Cambria Math" w:cs="Book Antiqua"/>
          <w:lang w:val="zh-CN"/>
        </w:rPr>
        <w:t xml:space="preserve"> Scale items utilize 5-point Likert formats, and the instrument is pre-tested with 30 respondents from non-study communities and refined based on reliability analysis and cognitive interviews to ensure cultural appropriateness and comprehension.</w:t>
      </w:r>
    </w:p>
    <w:p w14:paraId="17135DBB" w14:textId="77777777" w:rsidR="008C5517" w:rsidRPr="00DA163B" w:rsidRDefault="008C5517" w:rsidP="00A3295E">
      <w:pPr>
        <w:spacing w:after="0"/>
        <w:ind w:firstLine="426"/>
        <w:jc w:val="both"/>
        <w:rPr>
          <w:rFonts w:ascii="Cambria Math" w:eastAsia="Book Antiqua" w:hAnsi="Cambria Math" w:cs="Book Antiqua"/>
          <w:color w:val="76923C"/>
          <w:lang w:val="zh-CN"/>
        </w:rPr>
      </w:pPr>
    </w:p>
    <w:p w14:paraId="5CFF7F69" w14:textId="77777777" w:rsidR="008C5517" w:rsidRDefault="008C5517">
      <w:pPr>
        <w:spacing w:after="0"/>
        <w:jc w:val="both"/>
        <w:rPr>
          <w:rFonts w:ascii="Cambria Math" w:eastAsia="Book Antiqua" w:hAnsi="Cambria Math" w:cs="Book Antiqua"/>
          <w:b/>
          <w:color w:val="76923C" w:themeColor="accent3" w:themeShade="BF"/>
        </w:rPr>
      </w:pPr>
      <w:r w:rsidRPr="00DA163B">
        <w:rPr>
          <w:rFonts w:ascii="Cambria Math" w:eastAsia="Book Antiqua" w:hAnsi="Cambria Math" w:cs="Book Antiqua"/>
          <w:b/>
          <w:color w:val="76923C"/>
        </w:rPr>
        <w:t>RESUL</w:t>
      </w:r>
      <w:r>
        <w:rPr>
          <w:rFonts w:ascii="Cambria Math" w:eastAsia="Book Antiqua" w:hAnsi="Cambria Math" w:cs="Book Antiqua"/>
          <w:b/>
          <w:color w:val="76923C" w:themeColor="accent3" w:themeShade="BF"/>
        </w:rPr>
        <w:t>T AND DISCUSSION</w:t>
      </w:r>
    </w:p>
    <w:p w14:paraId="50C7CCFD" w14:textId="77777777" w:rsidR="008C5517" w:rsidRDefault="008C5517" w:rsidP="00A3295E">
      <w:pPr>
        <w:spacing w:after="0"/>
        <w:ind w:firstLine="426"/>
        <w:jc w:val="both"/>
        <w:rPr>
          <w:rFonts w:ascii="Cambria Math" w:eastAsia="Book Antiqua" w:hAnsi="Cambria Math" w:cs="Book Antiqua"/>
          <w:lang w:val="zh-CN"/>
        </w:rPr>
      </w:pPr>
      <w:r>
        <w:rPr>
          <w:rFonts w:ascii="Cambria Math" w:eastAsia="Book Antiqua" w:hAnsi="Cambria Math" w:cs="Book Antiqua"/>
          <w:lang w:val="zh-CN"/>
        </w:rPr>
        <w:t>This section presents the findings from the mixed-methods sequential explanatory research examining the transformation of social guidance practices and their impact on community collaboration for sustainable development. The analysis draws upon quantitative data from 300 community participants across six diverse sites, qualitative insights from 60 in-depth interviews and 12 focus group discussions, and observational data from participatory workshops. The results are organized into three substantive sub-sections that align with the research objectives and analytical framework, providing comprehensive evidence of transformation processes, collaborative mechanisms, and sustainability outcomes.</w:t>
      </w:r>
    </w:p>
    <w:p w14:paraId="1C0FEAB1" w14:textId="77777777" w:rsidR="008C5517" w:rsidRPr="00A3295E" w:rsidRDefault="008C5517" w:rsidP="00EC0098">
      <w:pPr>
        <w:spacing w:after="0"/>
        <w:jc w:val="both"/>
        <w:rPr>
          <w:rFonts w:ascii="Cambria Math" w:eastAsia="Book Antiqua" w:hAnsi="Cambria Math" w:cs="Book Antiqua"/>
        </w:rPr>
      </w:pPr>
    </w:p>
    <w:p w14:paraId="29AB478B" w14:textId="02766298" w:rsidR="008C5517" w:rsidRPr="00DA163B" w:rsidRDefault="008C5517">
      <w:pPr>
        <w:spacing w:after="0"/>
        <w:jc w:val="both"/>
        <w:rPr>
          <w:rFonts w:ascii="Cambria Math" w:eastAsia="Book Antiqua" w:hAnsi="Cambria Math" w:cs="Book Antiqua"/>
          <w:b/>
          <w:bCs/>
          <w:color w:val="76923C"/>
          <w:lang w:val="zh-CN"/>
        </w:rPr>
      </w:pPr>
      <w:r w:rsidRPr="00DA163B">
        <w:rPr>
          <w:rFonts w:ascii="Cambria Math" w:eastAsia="Book Antiqua" w:hAnsi="Cambria Math" w:cs="Book Antiqua"/>
          <w:b/>
          <w:bCs/>
          <w:color w:val="76923C"/>
          <w:lang w:val="zh-CN"/>
        </w:rPr>
        <w:t>Dimensions and Characteristics of Transformed Social Guidance Approaches</w:t>
      </w:r>
    </w:p>
    <w:p w14:paraId="2AE45EAA" w14:textId="77777777" w:rsidR="008C5517" w:rsidRDefault="008C5517" w:rsidP="00A3295E">
      <w:pPr>
        <w:spacing w:after="0"/>
        <w:ind w:firstLine="426"/>
        <w:jc w:val="both"/>
        <w:rPr>
          <w:rFonts w:ascii="Cambria Math" w:eastAsia="Book Antiqua" w:hAnsi="Cambria Math" w:cs="Book Antiqua"/>
          <w:lang w:val="zh-CN"/>
        </w:rPr>
      </w:pPr>
      <w:r>
        <w:rPr>
          <w:rFonts w:ascii="Cambria Math" w:eastAsia="Book Antiqua" w:hAnsi="Cambria Math" w:cs="Book Antiqua"/>
          <w:lang w:val="zh-CN"/>
        </w:rPr>
        <w:t>The analysis reveals five distinct dimensions that characterize transformed social guidance practices, differentiating them fundamentally from traditional top-down approaches. These dimensions emerged consistently across all research sites despite contextual variations, suggesting core features of transformative guidance that transcend specific community characteristics. The participatory orientation dimension reflects the degree to which community members actively shape program design, implementation, and evaluation rather than serving as passive recipients of predetermined interventions. Quantitative data indicate that 78.3% of participants in transformed programs reported high levels of involvement in decision-making processes, compared to historical baseline data showing only 31.2% participation in traditional programs. This shift manifests through systematic integration of community consultation mechanisms, co-design workshops, and participatory planning sessions that position local knowledge as foundational to program development.</w:t>
      </w:r>
    </w:p>
    <w:p w14:paraId="161057F5" w14:textId="77777777" w:rsidR="008C5517" w:rsidRDefault="008C5517" w:rsidP="00A3295E">
      <w:pPr>
        <w:spacing w:after="0"/>
        <w:ind w:firstLine="426"/>
        <w:jc w:val="both"/>
        <w:rPr>
          <w:rFonts w:ascii="Cambria Math" w:eastAsia="Book Antiqua" w:hAnsi="Cambria Math" w:cs="Book Antiqua"/>
          <w:lang w:val="zh-CN"/>
        </w:rPr>
      </w:pPr>
      <w:r>
        <w:rPr>
          <w:rFonts w:ascii="Cambria Math" w:eastAsia="Book Antiqua" w:hAnsi="Cambria Math" w:cs="Book Antiqua"/>
          <w:lang w:val="zh-CN"/>
        </w:rPr>
        <w:t xml:space="preserve">The adaptive learning dimension captures the extent to which social guidance processes incorporate iterative reflection, experimentation, and adjustment based on ongoing community </w:t>
      </w:r>
      <w:r>
        <w:rPr>
          <w:rFonts w:ascii="Cambria Math" w:eastAsia="Book Antiqua" w:hAnsi="Cambria Math" w:cs="Book Antiqua"/>
          <w:lang w:val="zh-CN"/>
        </w:rPr>
        <w:lastRenderedPageBreak/>
        <w:t>experiences and changing contexts. Interview data revealed that transformed approaches deliberately build in regular reflection cycles, peer learning exchanges, and adaptive management protocols that enable responsive modification of strategies. Facilitators in all six sites described moving away from rigid curriculum delivery toward flexible learning frameworks that accommodate diverse community needs and emerging priorities. One urban facilitator explained that transformation required shifting from viewing the program manual as a script to be followed to treating it as a resource that informs contextually appropriate facilitation. Quantitative analysis shows significant positive correlations between adaptive learning indicators and both collaborative capacity measures and reported sustainability outcomes, with correlation coefficients ranging from 0.52 to 0.67 across different outcome dimensions.</w:t>
      </w:r>
    </w:p>
    <w:p w14:paraId="0C0B0E53" w14:textId="77777777" w:rsidR="008C5517" w:rsidRDefault="008C5517" w:rsidP="00A3295E">
      <w:pPr>
        <w:spacing w:after="0"/>
        <w:ind w:firstLine="426"/>
        <w:jc w:val="both"/>
        <w:rPr>
          <w:rFonts w:ascii="Cambria Math" w:eastAsia="Book Antiqua" w:hAnsi="Cambria Math" w:cs="Book Antiqua"/>
          <w:lang w:val="zh-CN"/>
        </w:rPr>
      </w:pPr>
      <w:r>
        <w:rPr>
          <w:rFonts w:ascii="Cambria Math" w:eastAsia="Book Antiqua" w:hAnsi="Cambria Math" w:cs="Book Antiqua"/>
          <w:lang w:val="zh-CN"/>
        </w:rPr>
        <w:t>The asset-based orientation dimension reflects emphasis on identifying and mobilizing existing community strengths, resources, and capabilities rather than focusing primarily on deficits and external solutions. Focus group participants consistently contrasted transformed approaches that begin with community asset mapping exercises against traditional needs-based assessments that emphasized problems and gaps. This dimension proved particularly significant in building collective efficacy, with communities scoring high on asset-based orientation showing 43.7% higher collective efficacy scores compared to those with more deficit-focused approaches. The relational quality dimension encompasses attention to building trust, strengthening social networks, and fostering inclusive participation across diverse community segments. Observational data documented specific practices including structured relationship-building activities, conflict-sensitive facilitation techniques, and deliberate inclusion strategies for marginalized groups that distinguished transformed approaches.</w:t>
      </w:r>
    </w:p>
    <w:p w14:paraId="1F314219" w14:textId="77777777" w:rsidR="008C5517" w:rsidRDefault="008C5517" w:rsidP="00A3295E">
      <w:pPr>
        <w:spacing w:after="0"/>
        <w:ind w:firstLine="426"/>
        <w:jc w:val="both"/>
        <w:rPr>
          <w:rFonts w:ascii="Cambria Math" w:eastAsia="Book Antiqua" w:hAnsi="Cambria Math" w:cs="Book Antiqua"/>
          <w:lang w:val="zh-CN"/>
        </w:rPr>
      </w:pPr>
      <w:r>
        <w:rPr>
          <w:rFonts w:ascii="Cambria Math" w:eastAsia="Book Antiqua" w:hAnsi="Cambria Math" w:cs="Book Antiqua"/>
          <w:lang w:val="zh-CN"/>
        </w:rPr>
        <w:t>The power-sharing dimension addresses the distribution of authority, resources, and recognition between external facilitators and community actors, with transformed approaches demonstrating progressive transfer of leadership and decision-making responsibilities. Across the research sites, communities implementing transformed social guidance showed mean scores of 4.21 out of 5.0 on power-sharing indicators, significantly higher than the 2.87 baseline from traditional programs. This transformation manifests through practices such as community-led facilitation, local control over resource allocation, and formal recognition of community expertise. Table 1 presents comprehensive descriptive statistics for all five transformation dimensions across the six research sites, revealing both common patterns and contextual variations. The data demonstrate that while all transformed programs scored substantially higher than traditional baselines across all dimensions, the relative emphasis on different dimensions varied by community context, with rural sites showing particularly strong asset-based orientation while urban sites demonstrated higher scores on adaptive learning mechanisms.</w:t>
      </w:r>
    </w:p>
    <w:p w14:paraId="3FC1788C" w14:textId="77777777" w:rsidR="008C5517" w:rsidRPr="00A3295E" w:rsidRDefault="008C5517">
      <w:pPr>
        <w:pStyle w:val="03Abstract-Title"/>
        <w:spacing w:line="240" w:lineRule="auto"/>
        <w:jc w:val="center"/>
        <w:rPr>
          <w:rFonts w:ascii="Cambria Math" w:hAnsi="Cambria Math"/>
          <w:lang w:val="zh-CN"/>
        </w:rPr>
      </w:pPr>
      <w:r w:rsidRPr="00A3295E">
        <w:rPr>
          <w:rFonts w:ascii="Cambria Math" w:hAnsi="Cambria Math"/>
          <w:lang w:val="zh-CN"/>
        </w:rPr>
        <w:t>Table 1</w:t>
      </w:r>
      <w:r w:rsidRPr="00A3295E">
        <w:rPr>
          <w:rFonts w:ascii="Cambria Math" w:hAnsi="Cambria Math"/>
          <w:b w:val="0"/>
          <w:bCs/>
          <w:lang w:val="zh-CN"/>
        </w:rPr>
        <w:t>. Descriptive Statistics of Social Guidance Transformation Dimensions Across Research Sites</w:t>
      </w:r>
    </w:p>
    <w:tbl>
      <w:tblPr>
        <w:tblW w:w="5144" w:type="pct"/>
        <w:jc w:val="center"/>
        <w:tblBorders>
          <w:top w:val="single" w:sz="4" w:space="0" w:color="auto"/>
          <w:bottom w:val="single" w:sz="4" w:space="0" w:color="auto"/>
          <w:insideH w:val="single" w:sz="4" w:space="0" w:color="auto"/>
        </w:tblBorders>
        <w:tblCellMar>
          <w:left w:w="10" w:type="dxa"/>
          <w:right w:w="10" w:type="dxa"/>
        </w:tblCellMar>
        <w:tblLook w:val="04A0" w:firstRow="1" w:lastRow="0" w:firstColumn="1" w:lastColumn="0" w:noHBand="0" w:noVBand="1"/>
      </w:tblPr>
      <w:tblGrid>
        <w:gridCol w:w="2842"/>
        <w:gridCol w:w="1587"/>
        <w:gridCol w:w="1121"/>
        <w:gridCol w:w="1027"/>
        <w:gridCol w:w="1369"/>
        <w:gridCol w:w="1971"/>
      </w:tblGrid>
      <w:tr w:rsidR="008C5517" w:rsidRPr="00A3295E" w14:paraId="643B2133" w14:textId="77777777">
        <w:trPr>
          <w:trHeight w:val="19"/>
          <w:jc w:val="center"/>
        </w:trPr>
        <w:tc>
          <w:tcPr>
            <w:tcW w:w="1433" w:type="pct"/>
            <w:shd w:val="clear" w:color="auto" w:fill="D3D3D3"/>
          </w:tcPr>
          <w:p w14:paraId="7C3A66ED"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lastRenderedPageBreak/>
              <w:t>Transformation Dimension</w:t>
            </w:r>
          </w:p>
        </w:tc>
        <w:tc>
          <w:tcPr>
            <w:tcW w:w="800" w:type="pct"/>
            <w:shd w:val="clear" w:color="auto" w:fill="D3D3D3"/>
          </w:tcPr>
          <w:p w14:paraId="678B8AA8"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Overall Mean (SD)</w:t>
            </w:r>
          </w:p>
        </w:tc>
        <w:tc>
          <w:tcPr>
            <w:tcW w:w="565" w:type="pct"/>
            <w:shd w:val="clear" w:color="auto" w:fill="D3D3D3"/>
          </w:tcPr>
          <w:p w14:paraId="6F5332E8"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Urban Sites</w:t>
            </w:r>
          </w:p>
        </w:tc>
        <w:tc>
          <w:tcPr>
            <w:tcW w:w="518" w:type="pct"/>
            <w:shd w:val="clear" w:color="auto" w:fill="D3D3D3"/>
          </w:tcPr>
          <w:p w14:paraId="65D4F35A"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Rural Sites</w:t>
            </w:r>
          </w:p>
        </w:tc>
        <w:tc>
          <w:tcPr>
            <w:tcW w:w="690" w:type="pct"/>
            <w:shd w:val="clear" w:color="auto" w:fill="D3D3D3"/>
          </w:tcPr>
          <w:p w14:paraId="3588B450"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Peri-urban Sites</w:t>
            </w:r>
          </w:p>
        </w:tc>
        <w:tc>
          <w:tcPr>
            <w:tcW w:w="995" w:type="pct"/>
            <w:shd w:val="clear" w:color="auto" w:fill="D3D3D3"/>
          </w:tcPr>
          <w:p w14:paraId="587A3B20"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Traditional Baseline</w:t>
            </w:r>
          </w:p>
        </w:tc>
      </w:tr>
      <w:tr w:rsidR="008C5517" w:rsidRPr="00A3295E" w14:paraId="779B097F" w14:textId="77777777">
        <w:trPr>
          <w:trHeight w:val="19"/>
          <w:jc w:val="center"/>
        </w:trPr>
        <w:tc>
          <w:tcPr>
            <w:tcW w:w="1433" w:type="pct"/>
          </w:tcPr>
          <w:p w14:paraId="4B7594EB" w14:textId="77777777" w:rsidR="008C5517" w:rsidRPr="00A3295E" w:rsidRDefault="008C5517" w:rsidP="00DA163B">
            <w:pPr>
              <w:spacing w:after="0" w:line="240" w:lineRule="auto"/>
              <w:jc w:val="both"/>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Participatory Orientation</w:t>
            </w:r>
          </w:p>
        </w:tc>
        <w:tc>
          <w:tcPr>
            <w:tcW w:w="800" w:type="pct"/>
          </w:tcPr>
          <w:p w14:paraId="78DECAB8"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4.18 (0.63)</w:t>
            </w:r>
          </w:p>
        </w:tc>
        <w:tc>
          <w:tcPr>
            <w:tcW w:w="565" w:type="pct"/>
          </w:tcPr>
          <w:p w14:paraId="1613DC66"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4.12</w:t>
            </w:r>
          </w:p>
        </w:tc>
        <w:tc>
          <w:tcPr>
            <w:tcW w:w="518" w:type="pct"/>
          </w:tcPr>
          <w:p w14:paraId="12FAE9BB"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4.31</w:t>
            </w:r>
          </w:p>
        </w:tc>
        <w:tc>
          <w:tcPr>
            <w:tcW w:w="690" w:type="pct"/>
          </w:tcPr>
          <w:p w14:paraId="3EE57902"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4.11</w:t>
            </w:r>
          </w:p>
        </w:tc>
        <w:tc>
          <w:tcPr>
            <w:tcW w:w="995" w:type="pct"/>
          </w:tcPr>
          <w:p w14:paraId="046025E9"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2.45</w:t>
            </w:r>
          </w:p>
        </w:tc>
      </w:tr>
      <w:tr w:rsidR="008C5517" w:rsidRPr="00A3295E" w14:paraId="54A1A116" w14:textId="77777777">
        <w:trPr>
          <w:trHeight w:val="19"/>
          <w:jc w:val="center"/>
        </w:trPr>
        <w:tc>
          <w:tcPr>
            <w:tcW w:w="1433" w:type="pct"/>
          </w:tcPr>
          <w:p w14:paraId="11C853A3" w14:textId="77777777" w:rsidR="008C5517" w:rsidRPr="00A3295E" w:rsidRDefault="008C5517" w:rsidP="00DA163B">
            <w:pPr>
              <w:spacing w:after="0" w:line="240" w:lineRule="auto"/>
              <w:jc w:val="both"/>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Adaptive Learning</w:t>
            </w:r>
          </w:p>
        </w:tc>
        <w:tc>
          <w:tcPr>
            <w:tcW w:w="800" w:type="pct"/>
          </w:tcPr>
          <w:p w14:paraId="4D3D497D"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3.94 (0.71)</w:t>
            </w:r>
          </w:p>
        </w:tc>
        <w:tc>
          <w:tcPr>
            <w:tcW w:w="565" w:type="pct"/>
          </w:tcPr>
          <w:p w14:paraId="43391FDE"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4.23</w:t>
            </w:r>
          </w:p>
        </w:tc>
        <w:tc>
          <w:tcPr>
            <w:tcW w:w="518" w:type="pct"/>
          </w:tcPr>
          <w:p w14:paraId="0188713A"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3.78</w:t>
            </w:r>
          </w:p>
        </w:tc>
        <w:tc>
          <w:tcPr>
            <w:tcW w:w="690" w:type="pct"/>
          </w:tcPr>
          <w:p w14:paraId="6A6C6EEC"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3.81</w:t>
            </w:r>
          </w:p>
        </w:tc>
        <w:tc>
          <w:tcPr>
            <w:tcW w:w="995" w:type="pct"/>
          </w:tcPr>
          <w:p w14:paraId="5CE83E0F"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2.31</w:t>
            </w:r>
          </w:p>
        </w:tc>
      </w:tr>
      <w:tr w:rsidR="008C5517" w:rsidRPr="00A3295E" w14:paraId="33D24AA2" w14:textId="77777777">
        <w:trPr>
          <w:trHeight w:val="19"/>
          <w:jc w:val="center"/>
        </w:trPr>
        <w:tc>
          <w:tcPr>
            <w:tcW w:w="1433" w:type="pct"/>
          </w:tcPr>
          <w:p w14:paraId="57ADA873" w14:textId="77777777" w:rsidR="008C5517" w:rsidRPr="00A3295E" w:rsidRDefault="008C5517" w:rsidP="00DA163B">
            <w:pPr>
              <w:spacing w:after="0" w:line="240" w:lineRule="auto"/>
              <w:jc w:val="both"/>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Asset-based Orientation</w:t>
            </w:r>
          </w:p>
        </w:tc>
        <w:tc>
          <w:tcPr>
            <w:tcW w:w="800" w:type="pct"/>
          </w:tcPr>
          <w:p w14:paraId="3C242D5A"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4.07 (0.68)</w:t>
            </w:r>
          </w:p>
        </w:tc>
        <w:tc>
          <w:tcPr>
            <w:tcW w:w="565" w:type="pct"/>
          </w:tcPr>
          <w:p w14:paraId="52ECACE9"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3.89</w:t>
            </w:r>
          </w:p>
        </w:tc>
        <w:tc>
          <w:tcPr>
            <w:tcW w:w="518" w:type="pct"/>
          </w:tcPr>
          <w:p w14:paraId="5CB250F7"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4.38</w:t>
            </w:r>
          </w:p>
        </w:tc>
        <w:tc>
          <w:tcPr>
            <w:tcW w:w="690" w:type="pct"/>
          </w:tcPr>
          <w:p w14:paraId="3FD90A44"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3.94</w:t>
            </w:r>
          </w:p>
        </w:tc>
        <w:tc>
          <w:tcPr>
            <w:tcW w:w="995" w:type="pct"/>
          </w:tcPr>
          <w:p w14:paraId="046BBA2F"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2.58</w:t>
            </w:r>
          </w:p>
        </w:tc>
      </w:tr>
      <w:tr w:rsidR="008C5517" w:rsidRPr="00A3295E" w14:paraId="32B5EF33" w14:textId="77777777">
        <w:trPr>
          <w:trHeight w:val="19"/>
          <w:jc w:val="center"/>
        </w:trPr>
        <w:tc>
          <w:tcPr>
            <w:tcW w:w="1433" w:type="pct"/>
          </w:tcPr>
          <w:p w14:paraId="2585ED1D" w14:textId="77777777" w:rsidR="008C5517" w:rsidRPr="00A3295E" w:rsidRDefault="008C5517" w:rsidP="00DA163B">
            <w:pPr>
              <w:spacing w:after="0" w:line="240" w:lineRule="auto"/>
              <w:jc w:val="both"/>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Relational Quality</w:t>
            </w:r>
          </w:p>
        </w:tc>
        <w:tc>
          <w:tcPr>
            <w:tcW w:w="800" w:type="pct"/>
          </w:tcPr>
          <w:p w14:paraId="1DE63739"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4.26 (0.59)</w:t>
            </w:r>
          </w:p>
        </w:tc>
        <w:tc>
          <w:tcPr>
            <w:tcW w:w="565" w:type="pct"/>
          </w:tcPr>
          <w:p w14:paraId="23E13656"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4.19</w:t>
            </w:r>
          </w:p>
        </w:tc>
        <w:tc>
          <w:tcPr>
            <w:tcW w:w="518" w:type="pct"/>
          </w:tcPr>
          <w:p w14:paraId="11EE56AA"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4.35</w:t>
            </w:r>
          </w:p>
        </w:tc>
        <w:tc>
          <w:tcPr>
            <w:tcW w:w="690" w:type="pct"/>
          </w:tcPr>
          <w:p w14:paraId="7F7F6DED"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4.24</w:t>
            </w:r>
          </w:p>
        </w:tc>
        <w:tc>
          <w:tcPr>
            <w:tcW w:w="995" w:type="pct"/>
          </w:tcPr>
          <w:p w14:paraId="56A929D0"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2.67</w:t>
            </w:r>
          </w:p>
        </w:tc>
      </w:tr>
      <w:tr w:rsidR="008C5517" w:rsidRPr="00A3295E" w14:paraId="1C9D6C03" w14:textId="77777777">
        <w:trPr>
          <w:trHeight w:val="19"/>
          <w:jc w:val="center"/>
        </w:trPr>
        <w:tc>
          <w:tcPr>
            <w:tcW w:w="1433" w:type="pct"/>
          </w:tcPr>
          <w:p w14:paraId="08A63AD1" w14:textId="77777777" w:rsidR="008C5517" w:rsidRPr="00A3295E" w:rsidRDefault="008C5517" w:rsidP="00DA163B">
            <w:pPr>
              <w:spacing w:after="0" w:line="240" w:lineRule="auto"/>
              <w:jc w:val="both"/>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Power-sharing</w:t>
            </w:r>
          </w:p>
        </w:tc>
        <w:tc>
          <w:tcPr>
            <w:tcW w:w="800" w:type="pct"/>
          </w:tcPr>
          <w:p w14:paraId="6C2B1BBF"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4.21 (0.65)</w:t>
            </w:r>
          </w:p>
        </w:tc>
        <w:tc>
          <w:tcPr>
            <w:tcW w:w="565" w:type="pct"/>
          </w:tcPr>
          <w:p w14:paraId="4CD45497"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4.15</w:t>
            </w:r>
          </w:p>
        </w:tc>
        <w:tc>
          <w:tcPr>
            <w:tcW w:w="518" w:type="pct"/>
          </w:tcPr>
          <w:p w14:paraId="08BDF568"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4.29</w:t>
            </w:r>
          </w:p>
        </w:tc>
        <w:tc>
          <w:tcPr>
            <w:tcW w:w="690" w:type="pct"/>
          </w:tcPr>
          <w:p w14:paraId="7A7C545E"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4.19</w:t>
            </w:r>
          </w:p>
        </w:tc>
        <w:tc>
          <w:tcPr>
            <w:tcW w:w="995" w:type="pct"/>
          </w:tcPr>
          <w:p w14:paraId="0EBDA631"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2.87</w:t>
            </w:r>
          </w:p>
        </w:tc>
      </w:tr>
      <w:tr w:rsidR="008C5517" w:rsidRPr="00A3295E" w14:paraId="7F7AB1E5" w14:textId="77777777">
        <w:trPr>
          <w:trHeight w:val="19"/>
          <w:jc w:val="center"/>
        </w:trPr>
        <w:tc>
          <w:tcPr>
            <w:tcW w:w="1433" w:type="pct"/>
          </w:tcPr>
          <w:p w14:paraId="5E456A22" w14:textId="77777777" w:rsidR="008C5517" w:rsidRPr="00A3295E" w:rsidRDefault="008C5517" w:rsidP="00DA163B">
            <w:pPr>
              <w:spacing w:after="0" w:line="240" w:lineRule="auto"/>
              <w:jc w:val="both"/>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Overall Transformation Index</w:t>
            </w:r>
          </w:p>
        </w:tc>
        <w:tc>
          <w:tcPr>
            <w:tcW w:w="800" w:type="pct"/>
          </w:tcPr>
          <w:p w14:paraId="2805794A"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4.13 (0.58)</w:t>
            </w:r>
          </w:p>
        </w:tc>
        <w:tc>
          <w:tcPr>
            <w:tcW w:w="565" w:type="pct"/>
          </w:tcPr>
          <w:p w14:paraId="750AC4AD"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4.12</w:t>
            </w:r>
          </w:p>
        </w:tc>
        <w:tc>
          <w:tcPr>
            <w:tcW w:w="518" w:type="pct"/>
          </w:tcPr>
          <w:p w14:paraId="392814EA"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4.22</w:t>
            </w:r>
          </w:p>
        </w:tc>
        <w:tc>
          <w:tcPr>
            <w:tcW w:w="690" w:type="pct"/>
          </w:tcPr>
          <w:p w14:paraId="51B7166B"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4.06</w:t>
            </w:r>
          </w:p>
        </w:tc>
        <w:tc>
          <w:tcPr>
            <w:tcW w:w="995" w:type="pct"/>
          </w:tcPr>
          <w:p w14:paraId="77E3F6A9" w14:textId="77777777" w:rsidR="008C5517" w:rsidRPr="00A3295E" w:rsidRDefault="008C5517">
            <w:pPr>
              <w:spacing w:after="0" w:line="240" w:lineRule="auto"/>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2.58</w:t>
            </w:r>
          </w:p>
        </w:tc>
      </w:tr>
    </w:tbl>
    <w:p w14:paraId="21078BD0" w14:textId="77777777" w:rsidR="008C5517" w:rsidRDefault="008C5517" w:rsidP="00A3295E">
      <w:pPr>
        <w:spacing w:after="0"/>
        <w:jc w:val="both"/>
        <w:rPr>
          <w:rFonts w:ascii="Cambria Math" w:eastAsia="Book Antiqua" w:hAnsi="Cambria Math" w:cs="Book Antiqua"/>
          <w:lang w:val="zh-CN"/>
        </w:rPr>
      </w:pPr>
      <w:r>
        <w:rPr>
          <w:rFonts w:ascii="Cambria Math" w:eastAsia="Book Antiqua" w:hAnsi="Cambria Math" w:cs="Book Antiqua"/>
          <w:lang w:val="zh-CN"/>
        </w:rPr>
        <w:t>Note: All measures on 5-point scale (1=low, 5=high). N=300 for transformed programs, baseline from historical data (n=450).</w:t>
      </w:r>
    </w:p>
    <w:p w14:paraId="398B7A83" w14:textId="77777777" w:rsidR="008C5517" w:rsidRDefault="008C5517">
      <w:pPr>
        <w:spacing w:after="0"/>
        <w:ind w:firstLine="567"/>
        <w:jc w:val="both"/>
        <w:rPr>
          <w:rFonts w:ascii="Cambria Math" w:eastAsia="Book Antiqua" w:hAnsi="Cambria Math" w:cs="Book Antiqua"/>
        </w:rPr>
      </w:pPr>
    </w:p>
    <w:p w14:paraId="36E7C629" w14:textId="77777777" w:rsidR="008C5517" w:rsidRDefault="008C5517" w:rsidP="00A3295E">
      <w:pPr>
        <w:spacing w:after="0"/>
        <w:ind w:firstLine="426"/>
        <w:jc w:val="both"/>
        <w:rPr>
          <w:rFonts w:ascii="Cambria Math" w:eastAsia="Book Antiqua" w:hAnsi="Cambria Math" w:cs="Book Antiqua"/>
        </w:rPr>
      </w:pPr>
      <w:r>
        <w:rPr>
          <w:rFonts w:ascii="Cambria Math" w:eastAsia="Book Antiqua" w:hAnsi="Cambria Math" w:cs="Book Antiqua"/>
          <w:lang w:val="zh-CN"/>
        </w:rPr>
        <w:t xml:space="preserve">Qualitative analysis through thematic coding of interview transcripts identified specific transformation pathways through which communities and facilitators transitioned from traditional to transformed approaches. Three primary pathways emerged: crisis-catalyzed transformation, where specific challenges or failures of conventional approaches prompted fundamental rethinking; facilitated evolution, involving systematic capacity building and institutional support for gradual change; and community-driven innovation, where local actors independently developed and implemented transformed practices. </w:t>
      </w:r>
    </w:p>
    <w:p w14:paraId="74A9F32D" w14:textId="77777777" w:rsidR="008C5517" w:rsidRDefault="008C5517" w:rsidP="00A3295E">
      <w:pPr>
        <w:spacing w:after="0"/>
        <w:ind w:firstLine="426"/>
        <w:jc w:val="both"/>
        <w:rPr>
          <w:rFonts w:ascii="Cambria Math" w:eastAsia="Book Antiqua" w:hAnsi="Cambria Math" w:cs="Book Antiqua"/>
          <w:lang w:val="zh-CN"/>
        </w:rPr>
      </w:pPr>
      <w:r>
        <w:rPr>
          <w:rFonts w:ascii="Cambria Math" w:eastAsia="Book Antiqua" w:hAnsi="Cambria Math" w:cs="Book Antiqua"/>
          <w:lang w:val="zh-CN"/>
        </w:rPr>
        <w:t>The crisis-catalyzed pathway was most common in communities facing acute sustainability challenges, with 67% of participants from disaster-affected or resource-depleted areas describing critical incidents that sparked transformation. These communities reported compressed transformation timelines averaging 8-14 months compared to 24-36 months for facilitated evolution pathways. However, crisis-catalyzed transformations also showed higher variance in sustainability, with some reverting to traditional approaches once immediate pressures subsided. Community-driven innovation pathways, while less common, demonstrated the highest levels of local ownership and sustained implementation, suggesting that internally motivated transformation may produce more durable change despite requiring longer timeframes and facing greater initial resistance from external stakeholders accustomed to directive approaches.</w:t>
      </w:r>
    </w:p>
    <w:p w14:paraId="36E2EED9" w14:textId="77777777" w:rsidR="008C5517" w:rsidRDefault="008C5517">
      <w:pPr>
        <w:spacing w:after="0"/>
        <w:jc w:val="both"/>
        <w:rPr>
          <w:rFonts w:ascii="Cambria Math" w:eastAsia="Book Antiqua" w:hAnsi="Cambria Math" w:cs="Book Antiqua"/>
          <w:lang w:val="zh-CN"/>
        </w:rPr>
      </w:pPr>
    </w:p>
    <w:p w14:paraId="3AF1CB15" w14:textId="7B478670" w:rsidR="008C5517" w:rsidRPr="00DA163B" w:rsidRDefault="008C5517">
      <w:pPr>
        <w:spacing w:after="0"/>
        <w:jc w:val="both"/>
        <w:rPr>
          <w:rFonts w:ascii="Cambria Math" w:eastAsia="Book Antiqua" w:hAnsi="Cambria Math" w:cs="Book Antiqua"/>
          <w:b/>
          <w:bCs/>
          <w:color w:val="76923C"/>
          <w:lang w:val="zh-CN"/>
        </w:rPr>
      </w:pPr>
      <w:r w:rsidRPr="00DA163B">
        <w:rPr>
          <w:rFonts w:ascii="Cambria Math" w:eastAsia="Book Antiqua" w:hAnsi="Cambria Math" w:cs="Book Antiqua"/>
          <w:b/>
          <w:bCs/>
          <w:color w:val="76923C"/>
          <w:lang w:val="zh-CN"/>
        </w:rPr>
        <w:t>Mechanisms Linking Transformed Social Guidance to Community Collaborative Capacity</w:t>
      </w:r>
    </w:p>
    <w:p w14:paraId="6908ACB5" w14:textId="77777777" w:rsidR="008C5517" w:rsidRDefault="008C5517" w:rsidP="00A3295E">
      <w:pPr>
        <w:spacing w:after="0"/>
        <w:ind w:firstLine="426"/>
        <w:jc w:val="both"/>
        <w:rPr>
          <w:rFonts w:ascii="Cambria Math" w:eastAsia="Book Antiqua" w:hAnsi="Cambria Math" w:cs="Book Antiqua"/>
          <w:lang w:val="zh-CN"/>
        </w:rPr>
      </w:pPr>
      <w:r>
        <w:rPr>
          <w:rFonts w:ascii="Cambria Math" w:eastAsia="Book Antiqua" w:hAnsi="Cambria Math" w:cs="Book Antiqua"/>
          <w:lang w:val="zh-CN"/>
        </w:rPr>
        <w:t xml:space="preserve">Statistical analysis reveals multiple pathways through which transformed social guidance practices influence different dimensions of community collaborative capacity. Structural equation modeling demonstrates that transformation dimensions operate through both direct and mediated effects, with trust emergence serving as a critical mediating mechanism. The direct path from participatory orientation to collaborative capacity shows a standardized coefficient of 0.41, while the mediated path through trust building yields an additional indirect effect of 0.28, suggesting that participation enhances collaboration both through skill development and through trust-building processes. Asset-based orientation similarly demonstrates strong effects, with communities scoring in the highest quartile on this dimension showing collaborative capacity scores 1.34 standard deviations higher than those in the lowest quartile, controlling for community size, socioeconomic status, and program duration. The relationship between asset-based approaches and collaborative capacity appears </w:t>
      </w:r>
      <w:r>
        <w:rPr>
          <w:rFonts w:ascii="Cambria Math" w:eastAsia="Book Antiqua" w:hAnsi="Cambria Math" w:cs="Book Antiqua"/>
          <w:lang w:val="zh-CN"/>
        </w:rPr>
        <w:lastRenderedPageBreak/>
        <w:t>partially mediated by collective efficacy, with communities that engage in systematic asset mapping reporting significantly higher beliefs in their collective ability to address sustainability challenges.</w:t>
      </w:r>
    </w:p>
    <w:p w14:paraId="0CD691EB" w14:textId="77777777" w:rsidR="008C5517" w:rsidRDefault="008C5517" w:rsidP="00A3295E">
      <w:pPr>
        <w:spacing w:after="0"/>
        <w:ind w:firstLine="426"/>
        <w:jc w:val="both"/>
        <w:rPr>
          <w:rFonts w:ascii="Cambria Math" w:eastAsia="Book Antiqua" w:hAnsi="Cambria Math" w:cs="Book Antiqua"/>
          <w:lang w:val="zh-CN"/>
        </w:rPr>
      </w:pPr>
      <w:r>
        <w:rPr>
          <w:rFonts w:ascii="Cambria Math" w:eastAsia="Book Antiqua" w:hAnsi="Cambria Math" w:cs="Book Antiqua"/>
          <w:lang w:val="zh-CN"/>
        </w:rPr>
        <w:t>Process tracing through longitudinal case analysis identified four distinct mechanisms through which transformed social guidance builds collaborative capacity over time. The competence development mechanism operates through structured learning experiences that enhance individual and collective skills in areas such as participatory planning, conflict resolution, inclusive facilitation, and adaptive management. Across all sites, participants reported significant increases in collaboration-related competencies, with pre-post assessments showing average gains of 2.3 points on a 10-point competency scale. The relationship formation mechanism functions through deliberate relationship-building activities, including cross-group dialogue sessions, collaborative work experiences, and social events that strengthen interpersonal connections and build bridging social capital. Network analysis conducted at three sites revealed substantial increases in collaborative network density, with the average number of cross-group collaborative ties increasing from 4.7 to 12.3 over 18-month program periods. These network changes proved particularly significant for involving previously marginalized groups, with participation rates of women, youth, and economically disadvantaged community members in collaborative initiatives increasing by 67% on average.</w:t>
      </w:r>
    </w:p>
    <w:p w14:paraId="1EA8A902" w14:textId="77777777" w:rsidR="008C5517" w:rsidRDefault="008C5517" w:rsidP="00A3295E">
      <w:pPr>
        <w:spacing w:after="0"/>
        <w:ind w:firstLine="426"/>
        <w:jc w:val="both"/>
        <w:rPr>
          <w:rFonts w:ascii="Cambria Math" w:eastAsia="Book Antiqua" w:hAnsi="Cambria Math" w:cs="Book Antiqua"/>
        </w:rPr>
      </w:pPr>
      <w:r>
        <w:rPr>
          <w:rFonts w:ascii="Cambria Math" w:eastAsia="Book Antiqua" w:hAnsi="Cambria Math" w:cs="Book Antiqua"/>
          <w:lang w:val="zh-CN"/>
        </w:rPr>
        <w:t>The normative alignment mechanism addresses the development of shared values, common vision, and collective identity that enable sustained collaboration across diverse community segments. Transformed social guidance practices systematically incorporate visioning exercises, values clarification activities, and collective goal-setting processes that help communities develop shared frameworks for understanding sustainability challenges and desired futures. Interview participants described these processes as fundamental to overcoming historical divisions and building commitment to collaborative action. One rural community leader explained how participatory visioning helped bridge tensions between agricultural and conservation interests by revealing common concerns about water security and intergenerational equity.</w:t>
      </w:r>
    </w:p>
    <w:p w14:paraId="476873E3" w14:textId="77777777" w:rsidR="008C5517" w:rsidRDefault="008C5517" w:rsidP="00A3295E">
      <w:pPr>
        <w:spacing w:after="0"/>
        <w:ind w:firstLine="426"/>
        <w:jc w:val="both"/>
        <w:rPr>
          <w:rFonts w:ascii="Cambria Math" w:eastAsia="Book Antiqua" w:hAnsi="Cambria Math" w:cs="Book Antiqua"/>
          <w:lang w:val="zh-CN"/>
        </w:rPr>
      </w:pPr>
      <w:r>
        <w:rPr>
          <w:rFonts w:ascii="Cambria Math" w:eastAsia="Book Antiqua" w:hAnsi="Cambria Math" w:cs="Book Antiqua"/>
          <w:lang w:val="zh-CN"/>
        </w:rPr>
        <w:t xml:space="preserve"> Quantitative data support these observations, with communities demonstrating high normative alignment scores showing 54% fewer collaborative conflicts and 38% higher rates of sustained participation in joint initiatives. The institutional anchoring mechanism involves the creation of formal and informal structures, including collaborative committees, resource pooling arrangements, decision-making protocols, and monitoring systems that institutionalize collaborative practices beyond individual relationships or specific projects.</w:t>
      </w:r>
    </w:p>
    <w:p w14:paraId="0D32B438" w14:textId="77777777" w:rsidR="008C5517" w:rsidRDefault="008C5517" w:rsidP="00A3295E">
      <w:pPr>
        <w:spacing w:after="0"/>
        <w:ind w:firstLine="426"/>
        <w:jc w:val="both"/>
        <w:rPr>
          <w:rFonts w:ascii="Cambria Math" w:eastAsia="Book Antiqua" w:hAnsi="Cambria Math" w:cs="Book Antiqua"/>
        </w:rPr>
      </w:pPr>
      <w:r>
        <w:rPr>
          <w:rFonts w:ascii="Cambria Math" w:eastAsia="Book Antiqua" w:hAnsi="Cambria Math" w:cs="Book Antiqua"/>
          <w:lang w:val="zh-CN"/>
        </w:rPr>
        <w:t xml:space="preserve">Comparative analysis across research sites revealed important contextual variations in how these mechanisms operate and their relative importance. Table 2 presents quantitative data on collaborative capacity indicators and their relationship to transformation dimensions across different community types. Urban communities demonstrated particularly strong effects of adaptive learning on collaborative capacity, likely reflecting the rapid pace of change and diversity of stakeholders in urban contexts that demand flexible, responsive approaches. Rural </w:t>
      </w:r>
      <w:r>
        <w:rPr>
          <w:rFonts w:ascii="Cambria Math" w:eastAsia="Book Antiqua" w:hAnsi="Cambria Math" w:cs="Book Antiqua"/>
          <w:lang w:val="zh-CN"/>
        </w:rPr>
        <w:lastRenderedPageBreak/>
        <w:t>communities showed stronger relationships between asset-based orientation and collaborative outcomes, possibly because rural settings often possess more readily identifiable community assets and stronger place-based identities. Peri-urban communities displayed more balanced effects across transformation dimensions, suggesting that their transitional contexts benefit from comprehensive transformation approaches rather than emphasis on particular dimensions.</w:t>
      </w:r>
    </w:p>
    <w:p w14:paraId="6D387945" w14:textId="77777777" w:rsidR="008C5517" w:rsidRPr="00A3295E" w:rsidRDefault="008C5517" w:rsidP="00A3295E">
      <w:pPr>
        <w:spacing w:after="0"/>
        <w:ind w:firstLine="426"/>
        <w:jc w:val="both"/>
        <w:rPr>
          <w:rFonts w:ascii="Cambria Math" w:eastAsia="Book Antiqua" w:hAnsi="Cambria Math" w:cs="Book Antiqua"/>
        </w:rPr>
      </w:pPr>
    </w:p>
    <w:p w14:paraId="2A913D5C" w14:textId="77777777" w:rsidR="008C5517" w:rsidRPr="00A3295E" w:rsidRDefault="008C5517">
      <w:pPr>
        <w:spacing w:after="0"/>
        <w:jc w:val="center"/>
        <w:rPr>
          <w:rFonts w:ascii="Cambria Math" w:eastAsia="Book Antiqua" w:hAnsi="Cambria Math" w:cs="Book Antiqua"/>
          <w:lang w:val="zh-CN"/>
        </w:rPr>
      </w:pPr>
      <w:r>
        <w:rPr>
          <w:rFonts w:ascii="Cambria Math" w:eastAsia="Book Antiqua" w:hAnsi="Cambria Math" w:cs="Book Antiqua"/>
          <w:b/>
          <w:bCs/>
          <w:lang w:val="zh-CN"/>
        </w:rPr>
        <w:t xml:space="preserve">Table 2. </w:t>
      </w:r>
      <w:r w:rsidRPr="00A3295E">
        <w:rPr>
          <w:rFonts w:ascii="Cambria Math" w:eastAsia="Book Antiqua" w:hAnsi="Cambria Math" w:cs="Book Antiqua"/>
          <w:lang w:val="zh-CN"/>
        </w:rPr>
        <w:t>Collaborative Capacity Indicators and Correlations with Transformation Dimensions</w:t>
      </w:r>
    </w:p>
    <w:tbl>
      <w:tblPr>
        <w:tblW w:w="0" w:type="auto"/>
        <w:jc w:val="center"/>
        <w:tblBorders>
          <w:top w:val="single" w:sz="4" w:space="0" w:color="auto"/>
          <w:bottom w:val="single" w:sz="4" w:space="0" w:color="auto"/>
          <w:insideH w:val="single" w:sz="4" w:space="0" w:color="auto"/>
        </w:tblBorders>
        <w:tblCellMar>
          <w:left w:w="10" w:type="dxa"/>
          <w:right w:w="10" w:type="dxa"/>
        </w:tblCellMar>
        <w:tblLook w:val="04A0" w:firstRow="1" w:lastRow="0" w:firstColumn="1" w:lastColumn="0" w:noHBand="0" w:noVBand="1"/>
      </w:tblPr>
      <w:tblGrid>
        <w:gridCol w:w="2728"/>
        <w:gridCol w:w="1422"/>
        <w:gridCol w:w="3210"/>
        <w:gridCol w:w="673"/>
        <w:gridCol w:w="605"/>
        <w:gridCol w:w="1001"/>
      </w:tblGrid>
      <w:tr w:rsidR="008C5517" w:rsidRPr="00A3295E" w14:paraId="04B54E5F" w14:textId="77777777" w:rsidTr="00A3295E">
        <w:trPr>
          <w:trHeight w:val="20"/>
          <w:jc w:val="center"/>
        </w:trPr>
        <w:tc>
          <w:tcPr>
            <w:tcW w:w="0" w:type="auto"/>
            <w:shd w:val="clear" w:color="auto" w:fill="D3D3D3"/>
          </w:tcPr>
          <w:p w14:paraId="20EBBE7A"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Collaborative Capacity Indicator</w:t>
            </w:r>
          </w:p>
        </w:tc>
        <w:tc>
          <w:tcPr>
            <w:tcW w:w="0" w:type="auto"/>
            <w:shd w:val="clear" w:color="auto" w:fill="D3D3D3"/>
          </w:tcPr>
          <w:p w14:paraId="0EF70FD0"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Mean Score (SD)</w:t>
            </w:r>
          </w:p>
        </w:tc>
        <w:tc>
          <w:tcPr>
            <w:tcW w:w="0" w:type="auto"/>
            <w:shd w:val="clear" w:color="auto" w:fill="D3D3D3"/>
          </w:tcPr>
          <w:p w14:paraId="37264899"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Correlation with Transformation Index</w:t>
            </w:r>
          </w:p>
        </w:tc>
        <w:tc>
          <w:tcPr>
            <w:tcW w:w="0" w:type="auto"/>
            <w:shd w:val="clear" w:color="auto" w:fill="D3D3D3"/>
          </w:tcPr>
          <w:p w14:paraId="52BBEB99"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Urban</w:t>
            </w:r>
          </w:p>
        </w:tc>
        <w:tc>
          <w:tcPr>
            <w:tcW w:w="0" w:type="auto"/>
            <w:shd w:val="clear" w:color="auto" w:fill="D3D3D3"/>
          </w:tcPr>
          <w:p w14:paraId="0E4A3A81"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Rural</w:t>
            </w:r>
          </w:p>
        </w:tc>
        <w:tc>
          <w:tcPr>
            <w:tcW w:w="0" w:type="auto"/>
            <w:shd w:val="clear" w:color="auto" w:fill="D3D3D3"/>
          </w:tcPr>
          <w:p w14:paraId="50B32C3F"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Peri-urban</w:t>
            </w:r>
          </w:p>
        </w:tc>
      </w:tr>
      <w:tr w:rsidR="008C5517" w:rsidRPr="00A3295E" w14:paraId="3CE146E5" w14:textId="77777777" w:rsidTr="00A3295E">
        <w:trPr>
          <w:trHeight w:val="20"/>
          <w:jc w:val="center"/>
        </w:trPr>
        <w:tc>
          <w:tcPr>
            <w:tcW w:w="0" w:type="auto"/>
          </w:tcPr>
          <w:p w14:paraId="3A8C520D" w14:textId="77777777" w:rsidR="008C5517" w:rsidRPr="00A3295E" w:rsidRDefault="008C5517" w:rsidP="00DA163B">
            <w:pPr>
              <w:spacing w:after="0" w:line="240" w:lineRule="auto"/>
              <w:ind w:hanging="21"/>
              <w:jc w:val="both"/>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Trust in Community Partners</w:t>
            </w:r>
          </w:p>
        </w:tc>
        <w:tc>
          <w:tcPr>
            <w:tcW w:w="0" w:type="auto"/>
          </w:tcPr>
          <w:p w14:paraId="343497C3"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4.03 (0.74)</w:t>
            </w:r>
          </w:p>
        </w:tc>
        <w:tc>
          <w:tcPr>
            <w:tcW w:w="0" w:type="auto"/>
          </w:tcPr>
          <w:p w14:paraId="60AEE1EA"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0.68***</w:t>
            </w:r>
          </w:p>
        </w:tc>
        <w:tc>
          <w:tcPr>
            <w:tcW w:w="0" w:type="auto"/>
          </w:tcPr>
          <w:p w14:paraId="301DB230"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4.01</w:t>
            </w:r>
          </w:p>
        </w:tc>
        <w:tc>
          <w:tcPr>
            <w:tcW w:w="0" w:type="auto"/>
          </w:tcPr>
          <w:p w14:paraId="7E49AFA7"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4.12</w:t>
            </w:r>
          </w:p>
        </w:tc>
        <w:tc>
          <w:tcPr>
            <w:tcW w:w="0" w:type="auto"/>
          </w:tcPr>
          <w:p w14:paraId="6BE4A029"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3.96</w:t>
            </w:r>
          </w:p>
        </w:tc>
      </w:tr>
      <w:tr w:rsidR="008C5517" w:rsidRPr="00A3295E" w14:paraId="6ECA85C3" w14:textId="77777777" w:rsidTr="00A3295E">
        <w:trPr>
          <w:trHeight w:val="20"/>
          <w:jc w:val="center"/>
        </w:trPr>
        <w:tc>
          <w:tcPr>
            <w:tcW w:w="0" w:type="auto"/>
          </w:tcPr>
          <w:p w14:paraId="29699EBA" w14:textId="77777777" w:rsidR="008C5517" w:rsidRPr="00A3295E" w:rsidRDefault="008C5517" w:rsidP="00DA163B">
            <w:pPr>
              <w:spacing w:after="0" w:line="240" w:lineRule="auto"/>
              <w:ind w:hanging="21"/>
              <w:jc w:val="both"/>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Shared Vision for Sustainability</w:t>
            </w:r>
          </w:p>
        </w:tc>
        <w:tc>
          <w:tcPr>
            <w:tcW w:w="0" w:type="auto"/>
          </w:tcPr>
          <w:p w14:paraId="53FB0FC0"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3.87 (0.81)</w:t>
            </w:r>
          </w:p>
        </w:tc>
        <w:tc>
          <w:tcPr>
            <w:tcW w:w="0" w:type="auto"/>
          </w:tcPr>
          <w:p w14:paraId="61980BD8"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0.63***</w:t>
            </w:r>
          </w:p>
        </w:tc>
        <w:tc>
          <w:tcPr>
            <w:tcW w:w="0" w:type="auto"/>
          </w:tcPr>
          <w:p w14:paraId="210B482B"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3.79</w:t>
            </w:r>
          </w:p>
        </w:tc>
        <w:tc>
          <w:tcPr>
            <w:tcW w:w="0" w:type="auto"/>
          </w:tcPr>
          <w:p w14:paraId="48DC6646"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4.02</w:t>
            </w:r>
          </w:p>
        </w:tc>
        <w:tc>
          <w:tcPr>
            <w:tcW w:w="0" w:type="auto"/>
          </w:tcPr>
          <w:p w14:paraId="4A4C5E4D"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3.81</w:t>
            </w:r>
          </w:p>
        </w:tc>
      </w:tr>
      <w:tr w:rsidR="008C5517" w:rsidRPr="00A3295E" w14:paraId="5A5ED206" w14:textId="77777777" w:rsidTr="00A3295E">
        <w:trPr>
          <w:trHeight w:val="20"/>
          <w:jc w:val="center"/>
        </w:trPr>
        <w:tc>
          <w:tcPr>
            <w:tcW w:w="0" w:type="auto"/>
          </w:tcPr>
          <w:p w14:paraId="6A7A8937" w14:textId="77777777" w:rsidR="008C5517" w:rsidRPr="00A3295E" w:rsidRDefault="008C5517" w:rsidP="00DA163B">
            <w:pPr>
              <w:spacing w:after="0" w:line="240" w:lineRule="auto"/>
              <w:ind w:hanging="21"/>
              <w:jc w:val="both"/>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Communication Effectiveness</w:t>
            </w:r>
          </w:p>
        </w:tc>
        <w:tc>
          <w:tcPr>
            <w:tcW w:w="0" w:type="auto"/>
          </w:tcPr>
          <w:p w14:paraId="79EEFB16"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3.94 (0.77)</w:t>
            </w:r>
          </w:p>
        </w:tc>
        <w:tc>
          <w:tcPr>
            <w:tcW w:w="0" w:type="auto"/>
          </w:tcPr>
          <w:p w14:paraId="602381B6"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0.59***</w:t>
            </w:r>
          </w:p>
        </w:tc>
        <w:tc>
          <w:tcPr>
            <w:tcW w:w="0" w:type="auto"/>
          </w:tcPr>
          <w:p w14:paraId="4D3413BC"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4.07</w:t>
            </w:r>
          </w:p>
        </w:tc>
        <w:tc>
          <w:tcPr>
            <w:tcW w:w="0" w:type="auto"/>
          </w:tcPr>
          <w:p w14:paraId="61E5ED5C"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3.85</w:t>
            </w:r>
          </w:p>
        </w:tc>
        <w:tc>
          <w:tcPr>
            <w:tcW w:w="0" w:type="auto"/>
          </w:tcPr>
          <w:p w14:paraId="4CCFC900"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3.91</w:t>
            </w:r>
          </w:p>
        </w:tc>
      </w:tr>
      <w:tr w:rsidR="008C5517" w:rsidRPr="00A3295E" w14:paraId="36087A71" w14:textId="77777777" w:rsidTr="00A3295E">
        <w:trPr>
          <w:trHeight w:val="20"/>
          <w:jc w:val="center"/>
        </w:trPr>
        <w:tc>
          <w:tcPr>
            <w:tcW w:w="0" w:type="auto"/>
          </w:tcPr>
          <w:p w14:paraId="02AC25E5" w14:textId="77777777" w:rsidR="008C5517" w:rsidRPr="00A3295E" w:rsidRDefault="008C5517" w:rsidP="00DA163B">
            <w:pPr>
              <w:spacing w:after="0" w:line="240" w:lineRule="auto"/>
              <w:ind w:hanging="21"/>
              <w:jc w:val="both"/>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Conflict Resolution Capacity</w:t>
            </w:r>
          </w:p>
        </w:tc>
        <w:tc>
          <w:tcPr>
            <w:tcW w:w="0" w:type="auto"/>
          </w:tcPr>
          <w:p w14:paraId="21368362"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3.76 (0.86)</w:t>
            </w:r>
          </w:p>
        </w:tc>
        <w:tc>
          <w:tcPr>
            <w:tcW w:w="0" w:type="auto"/>
          </w:tcPr>
          <w:p w14:paraId="435AFB21"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0.54***</w:t>
            </w:r>
          </w:p>
        </w:tc>
        <w:tc>
          <w:tcPr>
            <w:tcW w:w="0" w:type="auto"/>
          </w:tcPr>
          <w:p w14:paraId="1460F822"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3.82</w:t>
            </w:r>
          </w:p>
        </w:tc>
        <w:tc>
          <w:tcPr>
            <w:tcW w:w="0" w:type="auto"/>
          </w:tcPr>
          <w:p w14:paraId="671BED57"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3.73</w:t>
            </w:r>
          </w:p>
        </w:tc>
        <w:tc>
          <w:tcPr>
            <w:tcW w:w="0" w:type="auto"/>
          </w:tcPr>
          <w:p w14:paraId="356D1D44"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3.74</w:t>
            </w:r>
          </w:p>
        </w:tc>
      </w:tr>
      <w:tr w:rsidR="008C5517" w:rsidRPr="00A3295E" w14:paraId="4A6A924E" w14:textId="77777777" w:rsidTr="00A3295E">
        <w:trPr>
          <w:trHeight w:val="20"/>
          <w:jc w:val="center"/>
        </w:trPr>
        <w:tc>
          <w:tcPr>
            <w:tcW w:w="0" w:type="auto"/>
          </w:tcPr>
          <w:p w14:paraId="7E4E187D" w14:textId="77777777" w:rsidR="008C5517" w:rsidRPr="00A3295E" w:rsidRDefault="008C5517" w:rsidP="00DA163B">
            <w:pPr>
              <w:spacing w:after="0" w:line="240" w:lineRule="auto"/>
              <w:ind w:hanging="21"/>
              <w:jc w:val="both"/>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Resource Mobilization</w:t>
            </w:r>
          </w:p>
        </w:tc>
        <w:tc>
          <w:tcPr>
            <w:tcW w:w="0" w:type="auto"/>
          </w:tcPr>
          <w:p w14:paraId="150E72A4"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3.68 (0.92)</w:t>
            </w:r>
          </w:p>
        </w:tc>
        <w:tc>
          <w:tcPr>
            <w:tcW w:w="0" w:type="auto"/>
          </w:tcPr>
          <w:p w14:paraId="6650C189"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0.61***</w:t>
            </w:r>
          </w:p>
        </w:tc>
        <w:tc>
          <w:tcPr>
            <w:tcW w:w="0" w:type="auto"/>
          </w:tcPr>
          <w:p w14:paraId="431D9B4E"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3.71</w:t>
            </w:r>
          </w:p>
        </w:tc>
        <w:tc>
          <w:tcPr>
            <w:tcW w:w="0" w:type="auto"/>
          </w:tcPr>
          <w:p w14:paraId="61DBE6CF"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3.78</w:t>
            </w:r>
          </w:p>
        </w:tc>
        <w:tc>
          <w:tcPr>
            <w:tcW w:w="0" w:type="auto"/>
          </w:tcPr>
          <w:p w14:paraId="4C328D7B"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3.56</w:t>
            </w:r>
          </w:p>
        </w:tc>
      </w:tr>
      <w:tr w:rsidR="008C5517" w:rsidRPr="00A3295E" w14:paraId="3FFD4D8B" w14:textId="77777777" w:rsidTr="00A3295E">
        <w:trPr>
          <w:trHeight w:val="20"/>
          <w:jc w:val="center"/>
        </w:trPr>
        <w:tc>
          <w:tcPr>
            <w:tcW w:w="0" w:type="auto"/>
          </w:tcPr>
          <w:p w14:paraId="757BA661" w14:textId="77777777" w:rsidR="008C5517" w:rsidRPr="00A3295E" w:rsidRDefault="008C5517" w:rsidP="00DA163B">
            <w:pPr>
              <w:spacing w:after="0" w:line="240" w:lineRule="auto"/>
              <w:ind w:hanging="21"/>
              <w:jc w:val="both"/>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Collective Efficacy</w:t>
            </w:r>
          </w:p>
        </w:tc>
        <w:tc>
          <w:tcPr>
            <w:tcW w:w="0" w:type="auto"/>
          </w:tcPr>
          <w:p w14:paraId="23AAD498"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3.92 (0.79)</w:t>
            </w:r>
          </w:p>
        </w:tc>
        <w:tc>
          <w:tcPr>
            <w:tcW w:w="0" w:type="auto"/>
          </w:tcPr>
          <w:p w14:paraId="6BAAA0B6"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0.71***</w:t>
            </w:r>
          </w:p>
        </w:tc>
        <w:tc>
          <w:tcPr>
            <w:tcW w:w="0" w:type="auto"/>
          </w:tcPr>
          <w:p w14:paraId="0BE449A0"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3.88</w:t>
            </w:r>
          </w:p>
        </w:tc>
        <w:tc>
          <w:tcPr>
            <w:tcW w:w="0" w:type="auto"/>
          </w:tcPr>
          <w:p w14:paraId="4FE93AFE"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4.09</w:t>
            </w:r>
          </w:p>
        </w:tc>
        <w:tc>
          <w:tcPr>
            <w:tcW w:w="0" w:type="auto"/>
          </w:tcPr>
          <w:p w14:paraId="41890122"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3.81</w:t>
            </w:r>
          </w:p>
        </w:tc>
      </w:tr>
      <w:tr w:rsidR="008C5517" w:rsidRPr="00A3295E" w14:paraId="49EFC67C" w14:textId="77777777" w:rsidTr="00A3295E">
        <w:trPr>
          <w:trHeight w:val="20"/>
          <w:jc w:val="center"/>
        </w:trPr>
        <w:tc>
          <w:tcPr>
            <w:tcW w:w="0" w:type="auto"/>
          </w:tcPr>
          <w:p w14:paraId="73949F51" w14:textId="77777777" w:rsidR="008C5517" w:rsidRPr="00A3295E" w:rsidRDefault="008C5517" w:rsidP="00DA163B">
            <w:pPr>
              <w:spacing w:after="0" w:line="240" w:lineRule="auto"/>
              <w:ind w:hanging="21"/>
              <w:jc w:val="both"/>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Inclusive Participation</w:t>
            </w:r>
          </w:p>
        </w:tc>
        <w:tc>
          <w:tcPr>
            <w:tcW w:w="0" w:type="auto"/>
          </w:tcPr>
          <w:p w14:paraId="27B0CDC1"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3.81 (0.84)</w:t>
            </w:r>
          </w:p>
        </w:tc>
        <w:tc>
          <w:tcPr>
            <w:tcW w:w="0" w:type="auto"/>
          </w:tcPr>
          <w:p w14:paraId="44D22B2C"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0.66***</w:t>
            </w:r>
          </w:p>
        </w:tc>
        <w:tc>
          <w:tcPr>
            <w:tcW w:w="0" w:type="auto"/>
          </w:tcPr>
          <w:p w14:paraId="4DCF0A74"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3.76</w:t>
            </w:r>
          </w:p>
        </w:tc>
        <w:tc>
          <w:tcPr>
            <w:tcW w:w="0" w:type="auto"/>
          </w:tcPr>
          <w:p w14:paraId="1AD0EB52"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3.94</w:t>
            </w:r>
          </w:p>
        </w:tc>
        <w:tc>
          <w:tcPr>
            <w:tcW w:w="0" w:type="auto"/>
          </w:tcPr>
          <w:p w14:paraId="5BE060D6"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3.73</w:t>
            </w:r>
          </w:p>
        </w:tc>
      </w:tr>
      <w:tr w:rsidR="008C5517" w:rsidRPr="00A3295E" w14:paraId="21C4ECDC" w14:textId="77777777" w:rsidTr="00A3295E">
        <w:trPr>
          <w:trHeight w:val="20"/>
          <w:jc w:val="center"/>
        </w:trPr>
        <w:tc>
          <w:tcPr>
            <w:tcW w:w="0" w:type="auto"/>
          </w:tcPr>
          <w:p w14:paraId="0E9E6D99" w14:textId="77777777" w:rsidR="008C5517" w:rsidRPr="00A3295E" w:rsidRDefault="008C5517" w:rsidP="00DA163B">
            <w:pPr>
              <w:spacing w:after="0" w:line="240" w:lineRule="auto"/>
              <w:ind w:hanging="21"/>
              <w:jc w:val="both"/>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Overall Collaborative Capacity</w:t>
            </w:r>
          </w:p>
        </w:tc>
        <w:tc>
          <w:tcPr>
            <w:tcW w:w="0" w:type="auto"/>
          </w:tcPr>
          <w:p w14:paraId="6EDF454B"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3.86 (0.72)</w:t>
            </w:r>
          </w:p>
        </w:tc>
        <w:tc>
          <w:tcPr>
            <w:tcW w:w="0" w:type="auto"/>
          </w:tcPr>
          <w:p w14:paraId="06724FBA"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0.73***</w:t>
            </w:r>
          </w:p>
        </w:tc>
        <w:tc>
          <w:tcPr>
            <w:tcW w:w="0" w:type="auto"/>
          </w:tcPr>
          <w:p w14:paraId="6A694140"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3.86</w:t>
            </w:r>
          </w:p>
        </w:tc>
        <w:tc>
          <w:tcPr>
            <w:tcW w:w="0" w:type="auto"/>
          </w:tcPr>
          <w:p w14:paraId="62F9144E"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3.93</w:t>
            </w:r>
          </w:p>
        </w:tc>
        <w:tc>
          <w:tcPr>
            <w:tcW w:w="0" w:type="auto"/>
          </w:tcPr>
          <w:p w14:paraId="088CEF4C"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3.79</w:t>
            </w:r>
          </w:p>
        </w:tc>
      </w:tr>
    </w:tbl>
    <w:p w14:paraId="1ABF7AE2" w14:textId="77777777" w:rsidR="008C5517" w:rsidRDefault="008C5517" w:rsidP="00A3295E">
      <w:pPr>
        <w:spacing w:after="0"/>
        <w:jc w:val="both"/>
        <w:rPr>
          <w:rFonts w:ascii="Cambria Math" w:eastAsia="Book Antiqua" w:hAnsi="Cambria Math" w:cs="Book Antiqua"/>
        </w:rPr>
      </w:pPr>
      <w:r>
        <w:rPr>
          <w:rFonts w:ascii="Cambria Math" w:eastAsia="Book Antiqua" w:hAnsi="Cambria Math" w:cs="Book Antiqua"/>
          <w:lang w:val="zh-CN"/>
        </w:rPr>
        <w:t>Note: ***p&lt;0.001. All measures on 5-point scale. Correlations are Pearson's r. N=300.</w:t>
      </w:r>
    </w:p>
    <w:p w14:paraId="3ED9E41A" w14:textId="77777777" w:rsidR="008C5517" w:rsidRPr="00A3295E" w:rsidRDefault="008C5517" w:rsidP="00A3295E">
      <w:pPr>
        <w:spacing w:after="0"/>
        <w:jc w:val="both"/>
        <w:rPr>
          <w:rFonts w:ascii="Cambria Math" w:eastAsia="Book Antiqua" w:hAnsi="Cambria Math" w:cs="Book Antiqua"/>
        </w:rPr>
      </w:pPr>
    </w:p>
    <w:p w14:paraId="48109588" w14:textId="77777777" w:rsidR="008C5517" w:rsidRDefault="008C5517" w:rsidP="00A3295E">
      <w:pPr>
        <w:spacing w:after="0"/>
        <w:ind w:firstLine="426"/>
        <w:jc w:val="both"/>
        <w:rPr>
          <w:rFonts w:ascii="Cambria Math" w:eastAsia="Book Antiqua" w:hAnsi="Cambria Math" w:cs="Book Antiqua"/>
        </w:rPr>
      </w:pPr>
      <w:r>
        <w:rPr>
          <w:rFonts w:ascii="Cambria Math" w:eastAsia="Book Antiqua" w:hAnsi="Cambria Math" w:cs="Book Antiqua"/>
          <w:lang w:val="zh-CN"/>
        </w:rPr>
        <w:t xml:space="preserve">Focus group discussions provided rich insights into the lived experience of collaborative capacity development through transformed social guidance. Participants consistently emphasized that transformation went beyond acquiring new skills to fundamentally reshaping how they understood their community's potential and their own agency. A recurring theme involved discovering previously unrecognized community assets and capabilities through participatory mapping and appreciative inquiry processes. Multiple participants described moments of collective realization when they recognized the depth of knowledge, skills, and resources already present within their communities. These experiences appeared particularly powerful for building collective efficacy, with participants reporting increased confidence in community problem-solving abilities. </w:t>
      </w:r>
    </w:p>
    <w:p w14:paraId="3F456550" w14:textId="77777777" w:rsidR="008C5517" w:rsidRDefault="008C5517" w:rsidP="00A3295E">
      <w:pPr>
        <w:spacing w:after="0"/>
        <w:ind w:firstLine="426"/>
        <w:jc w:val="both"/>
        <w:rPr>
          <w:rFonts w:ascii="Cambria Math" w:eastAsia="Book Antiqua" w:hAnsi="Cambria Math" w:cs="Book Antiqua"/>
          <w:lang w:val="zh-CN"/>
        </w:rPr>
      </w:pPr>
      <w:r>
        <w:rPr>
          <w:rFonts w:ascii="Cambria Math" w:eastAsia="Book Antiqua" w:hAnsi="Cambria Math" w:cs="Book Antiqua"/>
          <w:lang w:val="zh-CN"/>
        </w:rPr>
        <w:t>The temporal dimension of capacity building emerged as significant, with most communities requiring 12-18 months of sustained engagement before collaborative practices became self-sustaining. Early program phases focused on relationship building and trust development, middle phases emphasized skill acquisition and institutional development, while later phases involved progressive transfer of leadership and reduced facilitator involvement. Communities that attempted to accelerate this timeline by focusing immediately on technical skills and project implementation often experienced collaborative breakdowns, suggesting that adequate investment in relational foundations represents a critical success factor.</w:t>
      </w:r>
    </w:p>
    <w:p w14:paraId="644C7EE9" w14:textId="77777777" w:rsidR="008C5517" w:rsidRDefault="008C5517">
      <w:pPr>
        <w:spacing w:after="0"/>
        <w:jc w:val="both"/>
        <w:rPr>
          <w:rFonts w:ascii="Cambria Math" w:eastAsia="Book Antiqua" w:hAnsi="Cambria Math" w:cs="Book Antiqua"/>
          <w:lang w:val="zh-CN"/>
        </w:rPr>
      </w:pPr>
    </w:p>
    <w:p w14:paraId="65AD8A1B" w14:textId="0E48B144" w:rsidR="008C5517" w:rsidRPr="00CD5CA9" w:rsidRDefault="008C5517">
      <w:pPr>
        <w:spacing w:after="0"/>
        <w:jc w:val="both"/>
        <w:rPr>
          <w:rFonts w:ascii="Cambria Math" w:eastAsia="Book Antiqua" w:hAnsi="Cambria Math" w:cs="Book Antiqua"/>
          <w:b/>
          <w:bCs/>
          <w:color w:val="76923C"/>
          <w:lang w:val="zh-CN"/>
        </w:rPr>
      </w:pPr>
      <w:r w:rsidRPr="00CD5CA9">
        <w:rPr>
          <w:rFonts w:ascii="Cambria Math" w:eastAsia="Book Antiqua" w:hAnsi="Cambria Math" w:cs="Book Antiqua"/>
          <w:b/>
          <w:bCs/>
          <w:color w:val="76923C"/>
          <w:lang w:val="zh-CN"/>
        </w:rPr>
        <w:t>Contextual Factors and Sustainability Outcomes of Enhanced Community Collaboration</w:t>
      </w:r>
    </w:p>
    <w:p w14:paraId="4D98295D" w14:textId="77777777" w:rsidR="008C5517" w:rsidRDefault="008C5517" w:rsidP="00A3295E">
      <w:pPr>
        <w:spacing w:after="0"/>
        <w:ind w:firstLine="426"/>
        <w:jc w:val="both"/>
        <w:rPr>
          <w:rFonts w:ascii="Cambria Math" w:eastAsia="Book Antiqua" w:hAnsi="Cambria Math" w:cs="Book Antiqua"/>
        </w:rPr>
      </w:pPr>
      <w:r>
        <w:rPr>
          <w:rFonts w:ascii="Cambria Math" w:eastAsia="Book Antiqua" w:hAnsi="Cambria Math" w:cs="Book Antiqua"/>
          <w:lang w:val="zh-CN"/>
        </w:rPr>
        <w:lastRenderedPageBreak/>
        <w:t xml:space="preserve">Multi-level regression analysis identified several contextual factors that significantly moderate the relationship between transformed social guidance and both collaborative capacity and sustainability outcomes. Community heterogeneity, measured through indices of ethnic diversity, economic inequality, and occupational diversity, showed curvilinear relationships with collaborative outcomes. Moderate levels of heterogeneity appeared optimal for collaboration, with communities scoring in the middle range on diversity indices demonstrating 23% higher collaborative capacity than either highly homogeneous or extremely heterogeneous communities. </w:t>
      </w:r>
    </w:p>
    <w:p w14:paraId="6177C2C7" w14:textId="77777777" w:rsidR="008C5517" w:rsidRDefault="008C5517" w:rsidP="00A3295E">
      <w:pPr>
        <w:spacing w:after="0"/>
        <w:ind w:firstLine="426"/>
        <w:jc w:val="both"/>
        <w:rPr>
          <w:rFonts w:ascii="Cambria Math" w:eastAsia="Book Antiqua" w:hAnsi="Cambria Math" w:cs="Book Antiqua"/>
          <w:lang w:val="zh-CN"/>
        </w:rPr>
      </w:pPr>
      <w:r>
        <w:rPr>
          <w:rFonts w:ascii="Cambria Math" w:eastAsia="Book Antiqua" w:hAnsi="Cambria Math" w:cs="Book Antiqua"/>
          <w:lang w:val="zh-CN"/>
        </w:rPr>
        <w:t>Qualitative data suggest that moderate diversity provides sufficient variation to generate creative problem-solving while maintaining enough commonality to facilitate shared understanding and trust. Highly homogeneous communities sometimes struggled with groupthink and limited perspective diversity, while extremely heterogeneous communities faced greater challenges in building common ground and overcoming historical tensions. This pattern held across urban, rural, and peri-urban contexts, though the specific dimensions of diversity that mattered most varied by setting.</w:t>
      </w:r>
    </w:p>
    <w:p w14:paraId="4A783F02" w14:textId="77777777" w:rsidR="008C5517" w:rsidRDefault="008C5517" w:rsidP="00A3295E">
      <w:pPr>
        <w:spacing w:after="0"/>
        <w:ind w:firstLine="426"/>
        <w:jc w:val="both"/>
        <w:rPr>
          <w:rFonts w:ascii="Cambria Math" w:eastAsia="Book Antiqua" w:hAnsi="Cambria Math" w:cs="Book Antiqua"/>
        </w:rPr>
      </w:pPr>
      <w:r>
        <w:rPr>
          <w:rFonts w:ascii="Cambria Math" w:eastAsia="Book Antiqua" w:hAnsi="Cambria Math" w:cs="Book Antiqua"/>
          <w:lang w:val="zh-CN"/>
        </w:rPr>
        <w:t xml:space="preserve">Institutional support emerged as a critical enabling factor, with communities receiving consistent backing from local government, NGOs, or academic partners showing significantly better outcomes than those operating with minimal external support. However, the nature of support proved more important than its quantity, with facilitative support that builds local capacity demonstrating superior outcomes compared to directive support that creates dependency. Communities with supportive institutional environments showed collaborative capacity scores averaging 0.87 points higher than those in neutral or unsupportive contexts, controlling for transformation implementation quality and community characteristics. </w:t>
      </w:r>
    </w:p>
    <w:p w14:paraId="02160D17" w14:textId="77777777" w:rsidR="008C5517" w:rsidRDefault="008C5517" w:rsidP="00A3295E">
      <w:pPr>
        <w:spacing w:after="0"/>
        <w:ind w:firstLine="426"/>
        <w:jc w:val="both"/>
        <w:rPr>
          <w:rFonts w:ascii="Cambria Math" w:eastAsia="Book Antiqua" w:hAnsi="Cambria Math" w:cs="Book Antiqua"/>
          <w:lang w:val="zh-CN"/>
        </w:rPr>
      </w:pPr>
      <w:r>
        <w:rPr>
          <w:rFonts w:ascii="Cambria Math" w:eastAsia="Book Antiqua" w:hAnsi="Cambria Math" w:cs="Book Antiqua"/>
          <w:lang w:val="zh-CN"/>
        </w:rPr>
        <w:t>The strength of existing social capital at program initiation significantly predicted both the pace of transformation and the sustainability of collaborative outcomes, with high social capital communities achieving comparable collaborative capacity levels in 14 months that required 26 months in low social capital settings. Interestingly, however, the magnitude of gains in collaborative capacity proved greater in initially low social capital communities, suggesting that transformed social guidance may be particularly valuable for communities starting from weaker collaborative foundations.</w:t>
      </w:r>
    </w:p>
    <w:p w14:paraId="2300EB45" w14:textId="77777777" w:rsidR="008C5517" w:rsidRDefault="008C5517" w:rsidP="00A3295E">
      <w:pPr>
        <w:spacing w:after="0"/>
        <w:ind w:firstLine="426"/>
        <w:jc w:val="both"/>
        <w:rPr>
          <w:rFonts w:ascii="Cambria Math" w:eastAsia="Book Antiqua" w:hAnsi="Cambria Math" w:cs="Book Antiqua"/>
        </w:rPr>
      </w:pPr>
      <w:r>
        <w:rPr>
          <w:rFonts w:ascii="Cambria Math" w:eastAsia="Book Antiqua" w:hAnsi="Cambria Math" w:cs="Book Antiqua"/>
          <w:lang w:val="zh-CN"/>
        </w:rPr>
        <w:t xml:space="preserve">Analysis of sustainability outcomes demonstrates that enhanced community collaboration translates into tangible improvements across environmental, economic, and social dimensions, though effect sizes and pathways vary by outcome domain and community context. Environmental outcomes proved most directly linked to collaborative capacity, with communities in the highest collaborative capacity quartile showing 67% greater achievement of environmental goals compared to the lowest quartile. Specific environmental improvements included enhanced natural resource management practices, reduced pollution and waste generation, increased adoption of sustainable land use practices, and greater resilience to climate impacts. </w:t>
      </w:r>
    </w:p>
    <w:p w14:paraId="754E8D95" w14:textId="77777777" w:rsidR="008C5517" w:rsidRDefault="008C5517" w:rsidP="00A3295E">
      <w:pPr>
        <w:spacing w:after="0"/>
        <w:ind w:firstLine="426"/>
        <w:jc w:val="both"/>
        <w:rPr>
          <w:rFonts w:ascii="Cambria Math" w:eastAsia="Book Antiqua" w:hAnsi="Cambria Math" w:cs="Book Antiqua"/>
          <w:lang w:val="zh-CN"/>
        </w:rPr>
      </w:pPr>
      <w:r>
        <w:rPr>
          <w:rFonts w:ascii="Cambria Math" w:eastAsia="Book Antiqua" w:hAnsi="Cambria Math" w:cs="Book Antiqua"/>
          <w:lang w:val="zh-CN"/>
        </w:rPr>
        <w:t xml:space="preserve">Economic outcomes showed more complex patterns, with collaboration contributing to economic sustainability primarily through enhanced resource efficiency, collective marketing </w:t>
      </w:r>
      <w:r>
        <w:rPr>
          <w:rFonts w:ascii="Cambria Math" w:eastAsia="Book Antiqua" w:hAnsi="Cambria Math" w:cs="Book Antiqua"/>
          <w:lang w:val="zh-CN"/>
        </w:rPr>
        <w:lastRenderedPageBreak/>
        <w:t>initiatives, and diversification of livelihood strategies rather than direct income increases. Communities with strong collaborative capacity reported 34% higher economic resilience scores, capturing ability to maintain livelihoods during shocks, though median household income changes showed more modest differences of 11% over the study period.</w:t>
      </w:r>
    </w:p>
    <w:p w14:paraId="619A83F7" w14:textId="77777777" w:rsidR="008C5517" w:rsidRPr="00A3295E" w:rsidRDefault="008C5517" w:rsidP="00A3295E">
      <w:pPr>
        <w:spacing w:after="0"/>
        <w:ind w:firstLine="426"/>
        <w:jc w:val="both"/>
        <w:rPr>
          <w:rFonts w:ascii="Cambria Math" w:eastAsia="Book Antiqua" w:hAnsi="Cambria Math" w:cs="Book Antiqua"/>
        </w:rPr>
      </w:pPr>
      <w:r>
        <w:rPr>
          <w:rFonts w:ascii="Cambria Math" w:eastAsia="Book Antiqua" w:hAnsi="Cambria Math" w:cs="Book Antiqua"/>
          <w:lang w:val="zh-CN"/>
        </w:rPr>
        <w:t>Social sustainability outcomes encompassed improvements in equity, social cohesion, and community wellbeing that both resulted from and further enabled collaborative action. Table 3 presents comprehensive data on sustainability outcomes across the three domains, disaggregated by community type and collaborative capacity levels. The data reveal consistent positive relationships between collaborative capacity and sustainability outcomes while highlighting important contextual variations. Rural communities demonstrated particularly strong environmental outcomes, likely reflecting their closer dependence on natural resources and clearer connections between collaborative management and environmental conditions. Urban communities showed stronger economic outcomes, possibly due to greater market access and diversification opportunities that collaboration helps communities leverage. Social outcomes remained relatively consistent across community types, suggesting that the social benefits of collaboration may be more universal than environmental or economic effects.</w:t>
      </w:r>
    </w:p>
    <w:p w14:paraId="7FC577DD" w14:textId="77777777" w:rsidR="008C5517" w:rsidRDefault="008C5517">
      <w:pPr>
        <w:spacing w:after="0"/>
        <w:jc w:val="both"/>
        <w:rPr>
          <w:rFonts w:ascii="Cambria Math" w:eastAsia="Book Antiqua" w:hAnsi="Cambria Math" w:cs="Book Antiqua"/>
          <w:b/>
          <w:bCs/>
          <w:lang w:val="zh-CN"/>
        </w:rPr>
      </w:pPr>
    </w:p>
    <w:p w14:paraId="55945105" w14:textId="77777777" w:rsidR="008C5517" w:rsidRDefault="008C5517">
      <w:pPr>
        <w:spacing w:after="0"/>
        <w:jc w:val="center"/>
        <w:rPr>
          <w:rFonts w:ascii="Cambria Math" w:eastAsia="Book Antiqua" w:hAnsi="Cambria Math" w:cs="Book Antiqua"/>
          <w:lang w:val="zh-CN"/>
        </w:rPr>
      </w:pPr>
      <w:r>
        <w:rPr>
          <w:rFonts w:ascii="Cambria Math" w:eastAsia="Book Antiqua" w:hAnsi="Cambria Math" w:cs="Book Antiqua"/>
          <w:b/>
          <w:bCs/>
          <w:lang w:val="zh-CN"/>
        </w:rPr>
        <w:t xml:space="preserve">Table 3. </w:t>
      </w:r>
      <w:r w:rsidRPr="00A3295E">
        <w:rPr>
          <w:rFonts w:ascii="Cambria Math" w:eastAsia="Book Antiqua" w:hAnsi="Cambria Math" w:cs="Book Antiqua"/>
          <w:lang w:val="zh-CN"/>
        </w:rPr>
        <w:t>Sustainability Outcomes by Community Type and Collaborative Capacity Level</w:t>
      </w:r>
    </w:p>
    <w:tbl>
      <w:tblPr>
        <w:tblW w:w="5254" w:type="pct"/>
        <w:jc w:val="center"/>
        <w:tblBorders>
          <w:top w:val="single" w:sz="4" w:space="0" w:color="auto"/>
          <w:bottom w:val="single" w:sz="4" w:space="0" w:color="auto"/>
          <w:insideH w:val="single" w:sz="4" w:space="0" w:color="auto"/>
        </w:tblBorders>
        <w:tblCellMar>
          <w:left w:w="10" w:type="dxa"/>
          <w:right w:w="10" w:type="dxa"/>
        </w:tblCellMar>
        <w:tblLook w:val="04A0" w:firstRow="1" w:lastRow="0" w:firstColumn="1" w:lastColumn="0" w:noHBand="0" w:noVBand="1"/>
      </w:tblPr>
      <w:tblGrid>
        <w:gridCol w:w="2881"/>
        <w:gridCol w:w="1685"/>
        <w:gridCol w:w="1951"/>
        <w:gridCol w:w="1929"/>
        <w:gridCol w:w="889"/>
        <w:gridCol w:w="794"/>
      </w:tblGrid>
      <w:tr w:rsidR="008C5517" w:rsidRPr="00A3295E" w14:paraId="6EB1D89E" w14:textId="77777777" w:rsidTr="00A3295E">
        <w:trPr>
          <w:trHeight w:val="20"/>
          <w:jc w:val="center"/>
        </w:trPr>
        <w:tc>
          <w:tcPr>
            <w:tcW w:w="1422" w:type="pct"/>
          </w:tcPr>
          <w:p w14:paraId="35F510D9"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Outcome</w:t>
            </w:r>
          </w:p>
          <w:p w14:paraId="15941B1E"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Domain</w:t>
            </w:r>
          </w:p>
        </w:tc>
        <w:tc>
          <w:tcPr>
            <w:tcW w:w="832" w:type="pct"/>
          </w:tcPr>
          <w:p w14:paraId="6DE10FE8"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Overall Mean (SD)</w:t>
            </w:r>
          </w:p>
        </w:tc>
        <w:tc>
          <w:tcPr>
            <w:tcW w:w="963" w:type="pct"/>
          </w:tcPr>
          <w:p w14:paraId="6E2C3875"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High Collab. Capacity</w:t>
            </w:r>
          </w:p>
        </w:tc>
        <w:tc>
          <w:tcPr>
            <w:tcW w:w="952" w:type="pct"/>
          </w:tcPr>
          <w:p w14:paraId="317EC00A"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Low Collab. Capacity</w:t>
            </w:r>
          </w:p>
        </w:tc>
        <w:tc>
          <w:tcPr>
            <w:tcW w:w="439" w:type="pct"/>
          </w:tcPr>
          <w:p w14:paraId="669A09E2"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Urban</w:t>
            </w:r>
          </w:p>
        </w:tc>
        <w:tc>
          <w:tcPr>
            <w:tcW w:w="392" w:type="pct"/>
          </w:tcPr>
          <w:p w14:paraId="3E7A2387" w14:textId="77777777" w:rsidR="008C5517" w:rsidRPr="00A3295E" w:rsidRDefault="008C5517">
            <w:pPr>
              <w:spacing w:after="0" w:line="240" w:lineRule="auto"/>
              <w:ind w:hanging="21"/>
              <w:jc w:val="center"/>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Rural</w:t>
            </w:r>
          </w:p>
        </w:tc>
      </w:tr>
      <w:tr w:rsidR="008C5517" w:rsidRPr="00A3295E" w14:paraId="47D979F2" w14:textId="77777777" w:rsidTr="00A3295E">
        <w:trPr>
          <w:trHeight w:val="20"/>
          <w:jc w:val="center"/>
        </w:trPr>
        <w:tc>
          <w:tcPr>
            <w:tcW w:w="1422" w:type="pct"/>
          </w:tcPr>
          <w:p w14:paraId="37D018CA"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Environmental Sustainability</w:t>
            </w:r>
          </w:p>
        </w:tc>
        <w:tc>
          <w:tcPr>
            <w:tcW w:w="832" w:type="pct"/>
          </w:tcPr>
          <w:p w14:paraId="4553CCBB"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3.74 (0.89)</w:t>
            </w:r>
          </w:p>
        </w:tc>
        <w:tc>
          <w:tcPr>
            <w:tcW w:w="963" w:type="pct"/>
          </w:tcPr>
          <w:p w14:paraId="3AE2097C"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4.28</w:t>
            </w:r>
          </w:p>
        </w:tc>
        <w:tc>
          <w:tcPr>
            <w:tcW w:w="952" w:type="pct"/>
          </w:tcPr>
          <w:p w14:paraId="0C92B4F0"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2.56</w:t>
            </w:r>
          </w:p>
        </w:tc>
        <w:tc>
          <w:tcPr>
            <w:tcW w:w="439" w:type="pct"/>
          </w:tcPr>
          <w:p w14:paraId="73341B53"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3.61</w:t>
            </w:r>
          </w:p>
        </w:tc>
        <w:tc>
          <w:tcPr>
            <w:tcW w:w="392" w:type="pct"/>
          </w:tcPr>
          <w:p w14:paraId="31092B93"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4.02</w:t>
            </w:r>
          </w:p>
        </w:tc>
      </w:tr>
      <w:tr w:rsidR="008C5517" w:rsidRPr="00A3295E" w14:paraId="4FD6EE52" w14:textId="77777777" w:rsidTr="00A3295E">
        <w:trPr>
          <w:trHeight w:val="20"/>
          <w:jc w:val="center"/>
        </w:trPr>
        <w:tc>
          <w:tcPr>
            <w:tcW w:w="1422" w:type="pct"/>
          </w:tcPr>
          <w:p w14:paraId="7D28270E"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 xml:space="preserve">  Resource Management</w:t>
            </w:r>
          </w:p>
        </w:tc>
        <w:tc>
          <w:tcPr>
            <w:tcW w:w="832" w:type="pct"/>
          </w:tcPr>
          <w:p w14:paraId="086F44BE"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3.81 (0.94)</w:t>
            </w:r>
          </w:p>
        </w:tc>
        <w:tc>
          <w:tcPr>
            <w:tcW w:w="963" w:type="pct"/>
          </w:tcPr>
          <w:p w14:paraId="2FACDBDB"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4.37</w:t>
            </w:r>
          </w:p>
        </w:tc>
        <w:tc>
          <w:tcPr>
            <w:tcW w:w="952" w:type="pct"/>
          </w:tcPr>
          <w:p w14:paraId="157B2831"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2.63</w:t>
            </w:r>
          </w:p>
        </w:tc>
        <w:tc>
          <w:tcPr>
            <w:tcW w:w="439" w:type="pct"/>
          </w:tcPr>
          <w:p w14:paraId="30C1AC27"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3.58</w:t>
            </w:r>
          </w:p>
        </w:tc>
        <w:tc>
          <w:tcPr>
            <w:tcW w:w="392" w:type="pct"/>
          </w:tcPr>
          <w:p w14:paraId="10F63188"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4.21</w:t>
            </w:r>
          </w:p>
        </w:tc>
      </w:tr>
      <w:tr w:rsidR="008C5517" w:rsidRPr="00A3295E" w14:paraId="056F9442" w14:textId="77777777" w:rsidTr="00A3295E">
        <w:trPr>
          <w:trHeight w:val="20"/>
          <w:jc w:val="center"/>
        </w:trPr>
        <w:tc>
          <w:tcPr>
            <w:tcW w:w="1422" w:type="pct"/>
          </w:tcPr>
          <w:p w14:paraId="0381974F"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 xml:space="preserve">  Pollution Reduction</w:t>
            </w:r>
          </w:p>
        </w:tc>
        <w:tc>
          <w:tcPr>
            <w:tcW w:w="832" w:type="pct"/>
          </w:tcPr>
          <w:p w14:paraId="1D966B2C"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3.69 (0.91)</w:t>
            </w:r>
          </w:p>
        </w:tc>
        <w:tc>
          <w:tcPr>
            <w:tcW w:w="963" w:type="pct"/>
          </w:tcPr>
          <w:p w14:paraId="2E9A36AD"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4.19</w:t>
            </w:r>
          </w:p>
        </w:tc>
        <w:tc>
          <w:tcPr>
            <w:tcW w:w="952" w:type="pct"/>
          </w:tcPr>
          <w:p w14:paraId="6D304D75"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2.51</w:t>
            </w:r>
          </w:p>
        </w:tc>
        <w:tc>
          <w:tcPr>
            <w:tcW w:w="439" w:type="pct"/>
          </w:tcPr>
          <w:p w14:paraId="71186DB3"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3.76</w:t>
            </w:r>
          </w:p>
        </w:tc>
        <w:tc>
          <w:tcPr>
            <w:tcW w:w="392" w:type="pct"/>
          </w:tcPr>
          <w:p w14:paraId="513550F4"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3.68</w:t>
            </w:r>
          </w:p>
        </w:tc>
      </w:tr>
      <w:tr w:rsidR="008C5517" w:rsidRPr="00A3295E" w14:paraId="00718C0C" w14:textId="77777777" w:rsidTr="00A3295E">
        <w:trPr>
          <w:trHeight w:val="20"/>
          <w:jc w:val="center"/>
        </w:trPr>
        <w:tc>
          <w:tcPr>
            <w:tcW w:w="1422" w:type="pct"/>
          </w:tcPr>
          <w:p w14:paraId="249765DF"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 xml:space="preserve">  Climate Resilience</w:t>
            </w:r>
          </w:p>
        </w:tc>
        <w:tc>
          <w:tcPr>
            <w:tcW w:w="832" w:type="pct"/>
          </w:tcPr>
          <w:p w14:paraId="5F2BD0D6"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3.72 (0.88)</w:t>
            </w:r>
          </w:p>
        </w:tc>
        <w:tc>
          <w:tcPr>
            <w:tcW w:w="963" w:type="pct"/>
          </w:tcPr>
          <w:p w14:paraId="2EF77DC1"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4.28</w:t>
            </w:r>
          </w:p>
        </w:tc>
        <w:tc>
          <w:tcPr>
            <w:tcW w:w="952" w:type="pct"/>
          </w:tcPr>
          <w:p w14:paraId="67A0310C"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2.54</w:t>
            </w:r>
          </w:p>
        </w:tc>
        <w:tc>
          <w:tcPr>
            <w:tcW w:w="439" w:type="pct"/>
          </w:tcPr>
          <w:p w14:paraId="078694B2"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3.49</w:t>
            </w:r>
          </w:p>
        </w:tc>
        <w:tc>
          <w:tcPr>
            <w:tcW w:w="392" w:type="pct"/>
          </w:tcPr>
          <w:p w14:paraId="51032364"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4.17</w:t>
            </w:r>
          </w:p>
        </w:tc>
      </w:tr>
      <w:tr w:rsidR="008C5517" w:rsidRPr="00A3295E" w14:paraId="3B7D3054" w14:textId="77777777" w:rsidTr="00A3295E">
        <w:trPr>
          <w:trHeight w:val="20"/>
          <w:jc w:val="center"/>
        </w:trPr>
        <w:tc>
          <w:tcPr>
            <w:tcW w:w="1422" w:type="pct"/>
          </w:tcPr>
          <w:p w14:paraId="1F165E3C"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Economic Sustainability</w:t>
            </w:r>
          </w:p>
        </w:tc>
        <w:tc>
          <w:tcPr>
            <w:tcW w:w="832" w:type="pct"/>
          </w:tcPr>
          <w:p w14:paraId="3829EE47"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3.58 (0.96)</w:t>
            </w:r>
          </w:p>
        </w:tc>
        <w:tc>
          <w:tcPr>
            <w:tcW w:w="963" w:type="pct"/>
          </w:tcPr>
          <w:p w14:paraId="3BA6EDE7"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4.01</w:t>
            </w:r>
          </w:p>
        </w:tc>
        <w:tc>
          <w:tcPr>
            <w:tcW w:w="952" w:type="pct"/>
          </w:tcPr>
          <w:p w14:paraId="0E017975"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2.71</w:t>
            </w:r>
          </w:p>
        </w:tc>
        <w:tc>
          <w:tcPr>
            <w:tcW w:w="439" w:type="pct"/>
          </w:tcPr>
          <w:p w14:paraId="699D3C5E"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3.78</w:t>
            </w:r>
          </w:p>
        </w:tc>
        <w:tc>
          <w:tcPr>
            <w:tcW w:w="392" w:type="pct"/>
          </w:tcPr>
          <w:p w14:paraId="5021CB32"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3.52</w:t>
            </w:r>
          </w:p>
        </w:tc>
      </w:tr>
      <w:tr w:rsidR="008C5517" w:rsidRPr="00A3295E" w14:paraId="197EAF80" w14:textId="77777777" w:rsidTr="00A3295E">
        <w:trPr>
          <w:trHeight w:val="20"/>
          <w:jc w:val="center"/>
        </w:trPr>
        <w:tc>
          <w:tcPr>
            <w:tcW w:w="1422" w:type="pct"/>
          </w:tcPr>
          <w:p w14:paraId="4CB3E753"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 xml:space="preserve">  Economic Resilience</w:t>
            </w:r>
          </w:p>
        </w:tc>
        <w:tc>
          <w:tcPr>
            <w:tcW w:w="832" w:type="pct"/>
          </w:tcPr>
          <w:p w14:paraId="2CBE28B4"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3.67 (0.93)</w:t>
            </w:r>
          </w:p>
        </w:tc>
        <w:tc>
          <w:tcPr>
            <w:tcW w:w="963" w:type="pct"/>
          </w:tcPr>
          <w:p w14:paraId="162C5B28"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4.12</w:t>
            </w:r>
          </w:p>
        </w:tc>
        <w:tc>
          <w:tcPr>
            <w:tcW w:w="952" w:type="pct"/>
          </w:tcPr>
          <w:p w14:paraId="3EB1D83C"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2.78</w:t>
            </w:r>
          </w:p>
        </w:tc>
        <w:tc>
          <w:tcPr>
            <w:tcW w:w="439" w:type="pct"/>
          </w:tcPr>
          <w:p w14:paraId="47C1534F"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3.81</w:t>
            </w:r>
          </w:p>
        </w:tc>
        <w:tc>
          <w:tcPr>
            <w:tcW w:w="392" w:type="pct"/>
          </w:tcPr>
          <w:p w14:paraId="5EA5CB8C"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3.61</w:t>
            </w:r>
          </w:p>
        </w:tc>
      </w:tr>
      <w:tr w:rsidR="008C5517" w:rsidRPr="00A3295E" w14:paraId="4D1E228F" w14:textId="77777777" w:rsidTr="00A3295E">
        <w:trPr>
          <w:trHeight w:val="20"/>
          <w:jc w:val="center"/>
        </w:trPr>
        <w:tc>
          <w:tcPr>
            <w:tcW w:w="1422" w:type="pct"/>
          </w:tcPr>
          <w:p w14:paraId="2C1F7BB9"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 xml:space="preserve">  Livelihood Diversity</w:t>
            </w:r>
          </w:p>
        </w:tc>
        <w:tc>
          <w:tcPr>
            <w:tcW w:w="832" w:type="pct"/>
          </w:tcPr>
          <w:p w14:paraId="4EDA20DA"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3.54 (0.99)</w:t>
            </w:r>
          </w:p>
        </w:tc>
        <w:tc>
          <w:tcPr>
            <w:tcW w:w="963" w:type="pct"/>
          </w:tcPr>
          <w:p w14:paraId="212B3153"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3.97</w:t>
            </w:r>
          </w:p>
        </w:tc>
        <w:tc>
          <w:tcPr>
            <w:tcW w:w="952" w:type="pct"/>
          </w:tcPr>
          <w:p w14:paraId="111006BC"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2.68</w:t>
            </w:r>
          </w:p>
        </w:tc>
        <w:tc>
          <w:tcPr>
            <w:tcW w:w="439" w:type="pct"/>
          </w:tcPr>
          <w:p w14:paraId="2EDF1C03"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3.82</w:t>
            </w:r>
          </w:p>
        </w:tc>
        <w:tc>
          <w:tcPr>
            <w:tcW w:w="392" w:type="pct"/>
          </w:tcPr>
          <w:p w14:paraId="40425E08"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3.41</w:t>
            </w:r>
          </w:p>
        </w:tc>
      </w:tr>
      <w:tr w:rsidR="008C5517" w:rsidRPr="00A3295E" w14:paraId="0E9FCA94" w14:textId="77777777" w:rsidTr="00A3295E">
        <w:trPr>
          <w:trHeight w:val="20"/>
          <w:jc w:val="center"/>
        </w:trPr>
        <w:tc>
          <w:tcPr>
            <w:tcW w:w="1422" w:type="pct"/>
          </w:tcPr>
          <w:p w14:paraId="1820B6FF"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 xml:space="preserve">  Income Changes (%)</w:t>
            </w:r>
          </w:p>
        </w:tc>
        <w:tc>
          <w:tcPr>
            <w:tcW w:w="832" w:type="pct"/>
          </w:tcPr>
          <w:p w14:paraId="3A190F75"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11.4 (18.2)</w:t>
            </w:r>
          </w:p>
        </w:tc>
        <w:tc>
          <w:tcPr>
            <w:tcW w:w="963" w:type="pct"/>
          </w:tcPr>
          <w:p w14:paraId="6E72C588"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15.7</w:t>
            </w:r>
          </w:p>
        </w:tc>
        <w:tc>
          <w:tcPr>
            <w:tcW w:w="952" w:type="pct"/>
          </w:tcPr>
          <w:p w14:paraId="4410DDEE"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4.2</w:t>
            </w:r>
          </w:p>
        </w:tc>
        <w:tc>
          <w:tcPr>
            <w:tcW w:w="439" w:type="pct"/>
          </w:tcPr>
          <w:p w14:paraId="561EC01D"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13.8</w:t>
            </w:r>
          </w:p>
        </w:tc>
        <w:tc>
          <w:tcPr>
            <w:tcW w:w="392" w:type="pct"/>
          </w:tcPr>
          <w:p w14:paraId="74BCEB67"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10.1</w:t>
            </w:r>
          </w:p>
        </w:tc>
      </w:tr>
      <w:tr w:rsidR="008C5517" w:rsidRPr="00A3295E" w14:paraId="26A24B8A" w14:textId="77777777" w:rsidTr="00A3295E">
        <w:trPr>
          <w:trHeight w:val="20"/>
          <w:jc w:val="center"/>
        </w:trPr>
        <w:tc>
          <w:tcPr>
            <w:tcW w:w="1422" w:type="pct"/>
          </w:tcPr>
          <w:p w14:paraId="232B427F"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Social Sustainability</w:t>
            </w:r>
          </w:p>
        </w:tc>
        <w:tc>
          <w:tcPr>
            <w:tcW w:w="832" w:type="pct"/>
          </w:tcPr>
          <w:p w14:paraId="4DA2B47D"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3.89 (0.82)</w:t>
            </w:r>
          </w:p>
        </w:tc>
        <w:tc>
          <w:tcPr>
            <w:tcW w:w="963" w:type="pct"/>
          </w:tcPr>
          <w:p w14:paraId="75F2FBA5"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4.41</w:t>
            </w:r>
          </w:p>
        </w:tc>
        <w:tc>
          <w:tcPr>
            <w:tcW w:w="952" w:type="pct"/>
          </w:tcPr>
          <w:p w14:paraId="05ACD9CA"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2.79</w:t>
            </w:r>
          </w:p>
        </w:tc>
        <w:tc>
          <w:tcPr>
            <w:tcW w:w="439" w:type="pct"/>
          </w:tcPr>
          <w:p w14:paraId="532BBCC6"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3.86</w:t>
            </w:r>
          </w:p>
        </w:tc>
        <w:tc>
          <w:tcPr>
            <w:tcW w:w="392" w:type="pct"/>
          </w:tcPr>
          <w:p w14:paraId="4FF5E014"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3.97</w:t>
            </w:r>
          </w:p>
        </w:tc>
      </w:tr>
      <w:tr w:rsidR="008C5517" w:rsidRPr="00A3295E" w14:paraId="166E5CB5" w14:textId="77777777" w:rsidTr="00A3295E">
        <w:trPr>
          <w:trHeight w:val="20"/>
          <w:jc w:val="center"/>
        </w:trPr>
        <w:tc>
          <w:tcPr>
            <w:tcW w:w="1422" w:type="pct"/>
          </w:tcPr>
          <w:p w14:paraId="3B38B2AB"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 xml:space="preserve">  Social Cohesion</w:t>
            </w:r>
          </w:p>
        </w:tc>
        <w:tc>
          <w:tcPr>
            <w:tcW w:w="832" w:type="pct"/>
          </w:tcPr>
          <w:p w14:paraId="092B132E"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3.96 (0.79)</w:t>
            </w:r>
          </w:p>
        </w:tc>
        <w:tc>
          <w:tcPr>
            <w:tcW w:w="963" w:type="pct"/>
          </w:tcPr>
          <w:p w14:paraId="548B8302"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4.48</w:t>
            </w:r>
          </w:p>
        </w:tc>
        <w:tc>
          <w:tcPr>
            <w:tcW w:w="952" w:type="pct"/>
          </w:tcPr>
          <w:p w14:paraId="072DBF84"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2.87</w:t>
            </w:r>
          </w:p>
        </w:tc>
        <w:tc>
          <w:tcPr>
            <w:tcW w:w="439" w:type="pct"/>
          </w:tcPr>
          <w:p w14:paraId="0118F1FD"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3.92</w:t>
            </w:r>
          </w:p>
        </w:tc>
        <w:tc>
          <w:tcPr>
            <w:tcW w:w="392" w:type="pct"/>
          </w:tcPr>
          <w:p w14:paraId="350831E1"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4.06</w:t>
            </w:r>
          </w:p>
        </w:tc>
      </w:tr>
      <w:tr w:rsidR="008C5517" w:rsidRPr="00A3295E" w14:paraId="3698601D" w14:textId="77777777" w:rsidTr="00A3295E">
        <w:trPr>
          <w:trHeight w:val="20"/>
          <w:jc w:val="center"/>
        </w:trPr>
        <w:tc>
          <w:tcPr>
            <w:tcW w:w="1422" w:type="pct"/>
          </w:tcPr>
          <w:p w14:paraId="22E7542D"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 xml:space="preserve">  Equity &amp; Inclusion</w:t>
            </w:r>
          </w:p>
        </w:tc>
        <w:tc>
          <w:tcPr>
            <w:tcW w:w="832" w:type="pct"/>
          </w:tcPr>
          <w:p w14:paraId="1F94F7F6"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3.84 (0.87)</w:t>
            </w:r>
          </w:p>
        </w:tc>
        <w:tc>
          <w:tcPr>
            <w:tcW w:w="963" w:type="pct"/>
          </w:tcPr>
          <w:p w14:paraId="30F95DA4"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4.36</w:t>
            </w:r>
          </w:p>
        </w:tc>
        <w:tc>
          <w:tcPr>
            <w:tcW w:w="952" w:type="pct"/>
          </w:tcPr>
          <w:p w14:paraId="698A206C"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2.73</w:t>
            </w:r>
          </w:p>
        </w:tc>
        <w:tc>
          <w:tcPr>
            <w:tcW w:w="439" w:type="pct"/>
          </w:tcPr>
          <w:p w14:paraId="730ACE7F"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3.81</w:t>
            </w:r>
          </w:p>
        </w:tc>
        <w:tc>
          <w:tcPr>
            <w:tcW w:w="392" w:type="pct"/>
          </w:tcPr>
          <w:p w14:paraId="00A0DF04"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3.91</w:t>
            </w:r>
          </w:p>
        </w:tc>
      </w:tr>
      <w:tr w:rsidR="008C5517" w:rsidRPr="00A3295E" w14:paraId="07BD6236" w14:textId="77777777" w:rsidTr="00A3295E">
        <w:trPr>
          <w:trHeight w:val="20"/>
          <w:jc w:val="center"/>
        </w:trPr>
        <w:tc>
          <w:tcPr>
            <w:tcW w:w="1422" w:type="pct"/>
          </w:tcPr>
          <w:p w14:paraId="0EAC1334"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 xml:space="preserve">  Community Wellbeing</w:t>
            </w:r>
          </w:p>
        </w:tc>
        <w:tc>
          <w:tcPr>
            <w:tcW w:w="832" w:type="pct"/>
          </w:tcPr>
          <w:p w14:paraId="7A696896"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3.87 (0.84)</w:t>
            </w:r>
          </w:p>
        </w:tc>
        <w:tc>
          <w:tcPr>
            <w:tcW w:w="963" w:type="pct"/>
          </w:tcPr>
          <w:p w14:paraId="38DE3343"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4.39</w:t>
            </w:r>
          </w:p>
        </w:tc>
        <w:tc>
          <w:tcPr>
            <w:tcW w:w="952" w:type="pct"/>
          </w:tcPr>
          <w:p w14:paraId="3F61530D"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2.77</w:t>
            </w:r>
          </w:p>
        </w:tc>
        <w:tc>
          <w:tcPr>
            <w:tcW w:w="439" w:type="pct"/>
          </w:tcPr>
          <w:p w14:paraId="13BBFF07"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3.85</w:t>
            </w:r>
          </w:p>
        </w:tc>
        <w:tc>
          <w:tcPr>
            <w:tcW w:w="392" w:type="pct"/>
          </w:tcPr>
          <w:p w14:paraId="2E337933" w14:textId="77777777" w:rsidR="008C5517" w:rsidRPr="00A3295E" w:rsidRDefault="008C5517">
            <w:pPr>
              <w:spacing w:after="0" w:line="240" w:lineRule="auto"/>
              <w:ind w:hanging="21"/>
              <w:rPr>
                <w:rFonts w:ascii="Cambria Math" w:eastAsia="Book Antiqua" w:hAnsi="Cambria Math" w:cs="Book Antiqua"/>
                <w:sz w:val="22"/>
                <w:szCs w:val="22"/>
                <w:lang w:val="zh-CN"/>
              </w:rPr>
            </w:pPr>
            <w:r w:rsidRPr="00A3295E">
              <w:rPr>
                <w:rFonts w:ascii="Cambria Math" w:eastAsia="Book Antiqua" w:hAnsi="Cambria Math" w:cs="Book Antiqua"/>
                <w:sz w:val="22"/>
                <w:szCs w:val="22"/>
                <w:lang w:val="zh-CN"/>
              </w:rPr>
              <w:t>3.94</w:t>
            </w:r>
          </w:p>
        </w:tc>
      </w:tr>
    </w:tbl>
    <w:p w14:paraId="076D6C71" w14:textId="77777777" w:rsidR="008C5517" w:rsidRDefault="008C5517" w:rsidP="00A3295E">
      <w:pPr>
        <w:spacing w:after="0"/>
        <w:jc w:val="both"/>
        <w:rPr>
          <w:rFonts w:ascii="Cambria Math" w:eastAsia="Book Antiqua" w:hAnsi="Cambria Math" w:cs="Book Antiqua"/>
        </w:rPr>
      </w:pPr>
      <w:r>
        <w:rPr>
          <w:rFonts w:ascii="Cambria Math" w:eastAsia="Book Antiqua" w:hAnsi="Cambria Math" w:cs="Book Antiqua"/>
          <w:lang w:val="zh-CN"/>
        </w:rPr>
        <w:t>Note: All measures on 5-point scale except income changes (percentage). High/Low collaborative capacity based on median split. N=300. Peri-urban sites omitted for space; values fall between urban and rural.</w:t>
      </w:r>
    </w:p>
    <w:p w14:paraId="0BE5CEB8" w14:textId="77777777" w:rsidR="008C5517" w:rsidRPr="00A3295E" w:rsidRDefault="008C5517" w:rsidP="00A3295E">
      <w:pPr>
        <w:spacing w:after="0"/>
        <w:jc w:val="both"/>
        <w:rPr>
          <w:rFonts w:ascii="Cambria Math" w:eastAsia="Book Antiqua" w:hAnsi="Cambria Math" w:cs="Book Antiqua"/>
        </w:rPr>
      </w:pPr>
    </w:p>
    <w:p w14:paraId="0A382E02" w14:textId="77777777" w:rsidR="008C5517" w:rsidRDefault="008C5517" w:rsidP="00A3295E">
      <w:pPr>
        <w:spacing w:after="0"/>
        <w:ind w:firstLine="426"/>
        <w:jc w:val="both"/>
        <w:rPr>
          <w:rFonts w:ascii="Cambria Math" w:eastAsia="Book Antiqua" w:hAnsi="Cambria Math" w:cs="Book Antiqua"/>
        </w:rPr>
      </w:pPr>
      <w:r>
        <w:rPr>
          <w:rFonts w:ascii="Cambria Math" w:eastAsia="Book Antiqua" w:hAnsi="Cambria Math" w:cs="Book Antiqua"/>
          <w:lang w:val="zh-CN"/>
        </w:rPr>
        <w:t xml:space="preserve">Longitudinal tracking of collaborative initiatives revealed important patterns regarding sustainability and institutionalization of outcomes. Communities that successfully embedded collaborative practices into formal governance structures, local policies, and community norms demonstrated significantly greater sustainability of outcomes over time. Follow-up assessments conducted 12 months after program completion showed that 73% of collaborative initiatives in communities with strong institutional anchoring remained active and effective, compared to only 41% in communities lacking such structures. The integration of collaborative </w:t>
      </w:r>
      <w:r>
        <w:rPr>
          <w:rFonts w:ascii="Cambria Math" w:eastAsia="Book Antiqua" w:hAnsi="Cambria Math" w:cs="Book Antiqua"/>
          <w:lang w:val="zh-CN"/>
        </w:rPr>
        <w:lastRenderedPageBreak/>
        <w:t xml:space="preserve">approaches with existing community institutions proved particularly important, with attempts to create parallel structures often failing once external support diminished. </w:t>
      </w:r>
    </w:p>
    <w:p w14:paraId="2849A8F1" w14:textId="77777777" w:rsidR="008C5517" w:rsidRDefault="008C5517" w:rsidP="00A3295E">
      <w:pPr>
        <w:spacing w:after="0"/>
        <w:ind w:firstLine="426"/>
        <w:jc w:val="both"/>
        <w:rPr>
          <w:rFonts w:ascii="Cambria Math" w:eastAsia="Book Antiqua" w:hAnsi="Cambria Math" w:cs="Book Antiqua"/>
          <w:lang w:val="zh-CN"/>
        </w:rPr>
      </w:pPr>
      <w:r>
        <w:rPr>
          <w:rFonts w:ascii="Cambria Math" w:eastAsia="Book Antiqua" w:hAnsi="Cambria Math" w:cs="Book Antiqua"/>
          <w:lang w:val="zh-CN"/>
        </w:rPr>
        <w:t>Successful communities adapted collaborative practices to fit local governance traditions and decision-making cultures rather than imposing standardized models. Participatory workshops revealed that communities view sustainability outcomes holistically, recognizing interconnections between environmental, economic, and social dimensions that quantitative analysis sometimes obscures. Multiple participants emphasized that environmental improvements enhanced economic security, which strengthened social cohesion, creating reinforcing cycles that amplified initial gains. These synergistic effects suggest that comprehensive approaches addressing multiple sustainability dimensions may achieve greater overall impact than narrowly focused interventions, though they also require more complex collaborative arrangements and longer timeframes for measurable results</w:t>
      </w:r>
    </w:p>
    <w:p w14:paraId="2CE2F174" w14:textId="77777777" w:rsidR="008C5517" w:rsidRDefault="008C5517">
      <w:pPr>
        <w:spacing w:after="0"/>
        <w:jc w:val="both"/>
        <w:rPr>
          <w:rFonts w:ascii="Cambria Math" w:eastAsia="Book Antiqua" w:hAnsi="Cambria Math" w:cs="Book Antiqua"/>
          <w:lang w:val="zh-CN"/>
        </w:rPr>
      </w:pPr>
    </w:p>
    <w:p w14:paraId="1955C90F" w14:textId="77777777" w:rsidR="008C5517" w:rsidRDefault="008C5517">
      <w:pPr>
        <w:spacing w:after="0"/>
        <w:jc w:val="both"/>
        <w:rPr>
          <w:rFonts w:ascii="Cambria Math" w:eastAsia="Book Antiqua" w:hAnsi="Cambria Math" w:cs="Book Antiqua"/>
        </w:rPr>
      </w:pPr>
      <w:r>
        <w:rPr>
          <w:rFonts w:ascii="Cambria Math" w:eastAsia="Book Antiqua" w:hAnsi="Cambria Math" w:cs="Book Antiqua"/>
          <w:b/>
          <w:color w:val="76923C" w:themeColor="accent3" w:themeShade="BF"/>
        </w:rPr>
        <w:t>CONCLUSION</w:t>
      </w:r>
    </w:p>
    <w:p w14:paraId="0B0EF6BB" w14:textId="77777777" w:rsidR="008C5517" w:rsidRDefault="008C5517">
      <w:pPr>
        <w:spacing w:after="0"/>
        <w:ind w:firstLine="567"/>
        <w:jc w:val="both"/>
        <w:rPr>
          <w:rFonts w:ascii="Cambria Math" w:eastAsia="Book Antiqua" w:hAnsi="Cambria Math" w:cs="Book Antiqua"/>
          <w:bCs/>
        </w:rPr>
      </w:pPr>
      <w:r>
        <w:rPr>
          <w:rFonts w:ascii="Cambria Math" w:eastAsia="Book Antiqua" w:hAnsi="Cambria Math" w:cs="Book Antiqua"/>
          <w:bCs/>
        </w:rPr>
        <w:t xml:space="preserve">This research provides comprehensive evidence that transformation of social guidance practices fundamentally enhances community collaboration and contributes meaningfully to sustainable development outcomes. The study establishes five key dimensions characterizing transformed approaches participatory orientation, adaptive learning, asset-based perspectives, relational quality, and power-sharing—which operate synergistically through multiple mechanisms including competence development, relationship formation, normative alignment, and institutional anchoring. Quantitative findings demonstrate robust relationships between transformation implementation and collaborative outcomes, with communities scoring highest on transformation indices showing collaborative capacity scores 1.57 standard deviations above traditional approaches. </w:t>
      </w:r>
    </w:p>
    <w:p w14:paraId="581C12D6" w14:textId="77777777" w:rsidR="008C5517" w:rsidRDefault="008C5517">
      <w:pPr>
        <w:spacing w:after="0"/>
        <w:ind w:firstLine="567"/>
        <w:jc w:val="both"/>
        <w:rPr>
          <w:rFonts w:ascii="Cambria Math" w:eastAsia="Book Antiqua" w:hAnsi="Cambria Math" w:cs="Book Antiqua"/>
          <w:bCs/>
        </w:rPr>
      </w:pPr>
      <w:r>
        <w:rPr>
          <w:rFonts w:ascii="Cambria Math" w:eastAsia="Book Antiqua" w:hAnsi="Cambria Math" w:cs="Book Antiqua"/>
          <w:bCs/>
        </w:rPr>
        <w:t xml:space="preserve">The identification of contextual factors—including optimal community heterogeneity levels, facilitative institutional support, and existing social capital—provides important guidance for tailoring interventions to diverse community contexts. For development practice and policy, this research generates actionable insights for designing, implementing, and scaling social guidance interventions that genuinely catalyze community collaboration. The findings challenge assumptions that standardized, expert-driven interventions can effectively address complex sustainability challenges, demonstrating instead that contextualized, participatory, and adaptive approaches yield superior outcomes. </w:t>
      </w:r>
    </w:p>
    <w:p w14:paraId="480B90B5" w14:textId="77777777" w:rsidR="008C5517" w:rsidRDefault="008C5517">
      <w:pPr>
        <w:spacing w:after="0"/>
        <w:ind w:firstLine="567"/>
        <w:jc w:val="both"/>
        <w:rPr>
          <w:rFonts w:ascii="Cambria Math" w:eastAsia="Book Antiqua" w:hAnsi="Cambria Math" w:cs="Book Antiqua"/>
          <w:bCs/>
          <w:color w:val="2F5496"/>
        </w:rPr>
      </w:pPr>
    </w:p>
    <w:p w14:paraId="7EBB37FB" w14:textId="77777777" w:rsidR="008C5517" w:rsidRDefault="008C5517">
      <w:pPr>
        <w:spacing w:after="0"/>
        <w:jc w:val="both"/>
        <w:rPr>
          <w:rFonts w:ascii="Cambria Math" w:eastAsia="Book Antiqua" w:hAnsi="Cambria Math" w:cs="Book Antiqua"/>
          <w:b/>
          <w:color w:val="76923C" w:themeColor="accent3" w:themeShade="BF"/>
        </w:rPr>
      </w:pPr>
      <w:r>
        <w:rPr>
          <w:rFonts w:ascii="Cambria Math" w:eastAsia="Book Antiqua" w:hAnsi="Cambria Math" w:cs="Book Antiqua"/>
          <w:b/>
          <w:color w:val="76923C" w:themeColor="accent3" w:themeShade="BF"/>
        </w:rPr>
        <w:t>ACKNOWLEDGEMENT</w:t>
      </w:r>
    </w:p>
    <w:p w14:paraId="6F5F9C48" w14:textId="77777777" w:rsidR="008C5517" w:rsidRDefault="008C5517" w:rsidP="00E83CD1">
      <w:pPr>
        <w:spacing w:after="0"/>
        <w:ind w:firstLine="426"/>
        <w:jc w:val="both"/>
        <w:rPr>
          <w:rFonts w:ascii="Cambria Math" w:eastAsia="Book Antiqua" w:hAnsi="Cambria Math" w:cs="Book Antiqua"/>
        </w:rPr>
      </w:pPr>
      <w:r>
        <w:rPr>
          <w:rFonts w:ascii="Cambria Math" w:eastAsia="Book Antiqua" w:hAnsi="Cambria Math" w:cs="Book Antiqua"/>
        </w:rPr>
        <w:t xml:space="preserve">The authors express sincere gratitude to all community members, leaders, and facilitators across the six research sites who generously shared their time, experiences, and insights throughout this study. Their openness, commitment to sustainable development, and willingness to engage in collaborative inquiry made this research possible. Special appreciation is extended to the local government officials, NGO representatives, and organizational partners who provided institutional support and facilitated community access. We acknowledge the invaluable contributions of the research assistants and enumerators who conducted fieldwork </w:t>
      </w:r>
      <w:r>
        <w:rPr>
          <w:rFonts w:ascii="Cambria Math" w:eastAsia="Book Antiqua" w:hAnsi="Cambria Math" w:cs="Book Antiqua"/>
        </w:rPr>
        <w:lastRenderedPageBreak/>
        <w:t>with dedication and cultural sensitivity, ensuring data quality and ethical engagement. We thank the anonymous reviewers whose constructive feedback significantly strengthened this manuscript. Finally, we acknowledge our respective institutions for providing the intellectual environment and resources that supported this research endeavor. Any remaining errors or limitations are solely the responsibility of the authors.</w:t>
      </w:r>
    </w:p>
    <w:p w14:paraId="41FB58FD" w14:textId="77777777" w:rsidR="008C5517" w:rsidRDefault="008C5517">
      <w:pPr>
        <w:spacing w:after="0"/>
        <w:ind w:firstLine="720"/>
        <w:jc w:val="both"/>
        <w:rPr>
          <w:rFonts w:ascii="Cambria Math" w:eastAsia="Book Antiqua" w:hAnsi="Cambria Math" w:cs="Book Antiqua"/>
        </w:rPr>
      </w:pPr>
    </w:p>
    <w:p w14:paraId="6291ABDD" w14:textId="77777777" w:rsidR="008C5517" w:rsidRPr="00053489" w:rsidRDefault="008C5517" w:rsidP="00053489">
      <w:pPr>
        <w:spacing w:after="0"/>
        <w:jc w:val="both"/>
        <w:rPr>
          <w:rFonts w:ascii="Cambria Math" w:eastAsia="Book Antiqua" w:hAnsi="Cambria Math" w:cs="Book Antiqua"/>
          <w:b/>
          <w:color w:val="76923C" w:themeColor="accent3" w:themeShade="BF"/>
        </w:rPr>
      </w:pPr>
      <w:r>
        <w:rPr>
          <w:rFonts w:ascii="Cambria Math" w:eastAsia="Book Antiqua" w:hAnsi="Cambria Math" w:cs="Book Antiqua"/>
          <w:b/>
          <w:color w:val="76923C" w:themeColor="accent3" w:themeShade="BF"/>
        </w:rPr>
        <w:t>REFERENCES</w:t>
      </w:r>
    </w:p>
    <w:bookmarkStart w:id="2" w:name="Ahmad" w:displacedByCustomXml="next"/>
    <w:sdt>
      <w:sdtPr>
        <w:rPr>
          <w:color w:val="000000"/>
        </w:rPr>
        <w:tag w:val="MENDELEY_BIBLIOGRAPHY"/>
        <w:id w:val="-822197727"/>
        <w:placeholder>
          <w:docPart w:val="DefaultPlaceholder_-1854013440"/>
        </w:placeholder>
      </w:sdtPr>
      <w:sdtEndPr>
        <w:rPr>
          <w:rFonts w:ascii="Cambria" w:hAnsi="Cambria"/>
        </w:rPr>
      </w:sdtEndPr>
      <w:sdtContent>
        <w:p w14:paraId="1CB67BAE" w14:textId="77777777" w:rsidR="008C5517" w:rsidRPr="00D00B5E" w:rsidRDefault="008C5517" w:rsidP="00D00B5E">
          <w:pPr>
            <w:autoSpaceDE w:val="0"/>
            <w:autoSpaceDN w:val="0"/>
            <w:spacing w:after="0" w:line="240" w:lineRule="auto"/>
            <w:ind w:hanging="480"/>
            <w:jc w:val="both"/>
            <w:divId w:val="202059773"/>
            <w:rPr>
              <w:rFonts w:ascii="Cambria" w:hAnsi="Cambria"/>
              <w:color w:val="000000"/>
            </w:rPr>
          </w:pPr>
          <w:r w:rsidRPr="00D00B5E">
            <w:rPr>
              <w:rFonts w:ascii="Cambria" w:hAnsi="Cambria"/>
              <w:color w:val="000000"/>
            </w:rPr>
            <w:t>Ahmad</w:t>
          </w:r>
          <w:bookmarkEnd w:id="2"/>
          <w:r w:rsidRPr="00D00B5E">
            <w:rPr>
              <w:rFonts w:ascii="Cambria" w:hAnsi="Cambria"/>
              <w:color w:val="000000"/>
            </w:rPr>
            <w:t xml:space="preserve">, I. (2024). Exploring Advancing Social Equity through Sustainable Development: Challenges and Opportunities. </w:t>
          </w:r>
          <w:r w:rsidRPr="00D00B5E">
            <w:rPr>
              <w:rFonts w:ascii="Cambria" w:hAnsi="Cambria"/>
              <w:i/>
              <w:iCs/>
              <w:color w:val="000000"/>
            </w:rPr>
            <w:t>Sustainability Quest</w:t>
          </w:r>
          <w:r w:rsidRPr="00D00B5E">
            <w:rPr>
              <w:rFonts w:ascii="Cambria" w:hAnsi="Cambria"/>
              <w:color w:val="000000"/>
            </w:rPr>
            <w:t xml:space="preserve">, </w:t>
          </w:r>
          <w:r w:rsidRPr="00D00B5E">
            <w:rPr>
              <w:rFonts w:ascii="Cambria" w:hAnsi="Cambria"/>
              <w:i/>
              <w:iCs/>
              <w:color w:val="000000"/>
            </w:rPr>
            <w:t>1</w:t>
          </w:r>
          <w:r w:rsidRPr="00D00B5E">
            <w:rPr>
              <w:rFonts w:ascii="Cambria" w:hAnsi="Cambria"/>
              <w:color w:val="000000"/>
            </w:rPr>
            <w:t>(1), 1–7.</w:t>
          </w:r>
        </w:p>
        <w:p w14:paraId="1FB383ED" w14:textId="77777777" w:rsidR="008C5517" w:rsidRPr="00D00B5E" w:rsidRDefault="008C5517" w:rsidP="00D00B5E">
          <w:pPr>
            <w:autoSpaceDE w:val="0"/>
            <w:autoSpaceDN w:val="0"/>
            <w:spacing w:after="0" w:line="240" w:lineRule="auto"/>
            <w:ind w:hanging="480"/>
            <w:jc w:val="both"/>
            <w:divId w:val="468668692"/>
            <w:rPr>
              <w:rFonts w:ascii="Cambria" w:hAnsi="Cambria"/>
              <w:color w:val="000000"/>
            </w:rPr>
          </w:pPr>
          <w:bookmarkStart w:id="3" w:name="Alvaré"/>
          <w:r w:rsidRPr="00D00B5E">
            <w:rPr>
              <w:rFonts w:ascii="Cambria" w:hAnsi="Cambria"/>
              <w:color w:val="000000"/>
            </w:rPr>
            <w:t>Alvaré</w:t>
          </w:r>
          <w:bookmarkEnd w:id="3"/>
          <w:r w:rsidRPr="00D00B5E">
            <w:rPr>
              <w:rFonts w:ascii="Cambria" w:hAnsi="Cambria"/>
              <w:color w:val="000000"/>
            </w:rPr>
            <w:t xml:space="preserve">, B. T. (2024). Conjuring Community: The Hidden Promise of Performative Participatory Governance. </w:t>
          </w:r>
          <w:r w:rsidRPr="00D00B5E">
            <w:rPr>
              <w:rFonts w:ascii="Cambria" w:hAnsi="Cambria"/>
              <w:i/>
              <w:iCs/>
              <w:color w:val="000000"/>
            </w:rPr>
            <w:t>International Journal of Interdisciplinary Social and Community Studies</w:t>
          </w:r>
          <w:r w:rsidRPr="00D00B5E">
            <w:rPr>
              <w:rFonts w:ascii="Cambria" w:hAnsi="Cambria"/>
              <w:color w:val="000000"/>
            </w:rPr>
            <w:t xml:space="preserve">, </w:t>
          </w:r>
          <w:r w:rsidRPr="00D00B5E">
            <w:rPr>
              <w:rFonts w:ascii="Cambria" w:hAnsi="Cambria"/>
              <w:i/>
              <w:iCs/>
              <w:color w:val="000000"/>
            </w:rPr>
            <w:t>19</w:t>
          </w:r>
          <w:r w:rsidRPr="00D00B5E">
            <w:rPr>
              <w:rFonts w:ascii="Cambria" w:hAnsi="Cambria"/>
              <w:color w:val="000000"/>
            </w:rPr>
            <w:t>(2), 155–176. https://doi.org/10.18848/2324-7576/CGP/v19i02/155-176</w:t>
          </w:r>
        </w:p>
        <w:p w14:paraId="44D8DA0A" w14:textId="77777777" w:rsidR="008C5517" w:rsidRPr="00D00B5E" w:rsidRDefault="008C5517" w:rsidP="00D00B5E">
          <w:pPr>
            <w:autoSpaceDE w:val="0"/>
            <w:autoSpaceDN w:val="0"/>
            <w:spacing w:after="0" w:line="240" w:lineRule="auto"/>
            <w:ind w:hanging="480"/>
            <w:jc w:val="both"/>
            <w:divId w:val="729810340"/>
            <w:rPr>
              <w:rFonts w:ascii="Cambria" w:hAnsi="Cambria"/>
              <w:color w:val="000000"/>
            </w:rPr>
          </w:pPr>
          <w:bookmarkStart w:id="4" w:name="Corrigan"/>
          <w:r w:rsidRPr="00D00B5E">
            <w:rPr>
              <w:rFonts w:ascii="Cambria" w:hAnsi="Cambria"/>
              <w:color w:val="000000"/>
            </w:rPr>
            <w:t>Corrigan</w:t>
          </w:r>
          <w:bookmarkEnd w:id="4"/>
          <w:r w:rsidRPr="00D00B5E">
            <w:rPr>
              <w:rFonts w:ascii="Cambria" w:hAnsi="Cambria"/>
              <w:color w:val="000000"/>
            </w:rPr>
            <w:t xml:space="preserve">, J. A., &amp; Onwuegbuzie, A. J. (2020). </w:t>
          </w:r>
          <w:r w:rsidRPr="00D00B5E">
            <w:rPr>
              <w:rFonts w:ascii="Cambria" w:hAnsi="Cambria"/>
              <w:i/>
              <w:iCs/>
              <w:color w:val="000000"/>
            </w:rPr>
            <w:t>Toward a meta-framework for conducting mixed methods representation analyses to optimize meta-inferences</w:t>
          </w:r>
          <w:r w:rsidRPr="00D00B5E">
            <w:rPr>
              <w:rFonts w:ascii="Cambria" w:hAnsi="Cambria"/>
              <w:color w:val="000000"/>
            </w:rPr>
            <w:t>.</w:t>
          </w:r>
        </w:p>
        <w:p w14:paraId="4E317B49" w14:textId="77777777" w:rsidR="008C5517" w:rsidRPr="00D00B5E" w:rsidRDefault="008C5517" w:rsidP="00D00B5E">
          <w:pPr>
            <w:autoSpaceDE w:val="0"/>
            <w:autoSpaceDN w:val="0"/>
            <w:spacing w:after="0" w:line="240" w:lineRule="auto"/>
            <w:ind w:hanging="480"/>
            <w:jc w:val="both"/>
            <w:divId w:val="464734158"/>
            <w:rPr>
              <w:rFonts w:ascii="Cambria" w:hAnsi="Cambria"/>
              <w:color w:val="000000"/>
            </w:rPr>
          </w:pPr>
          <w:bookmarkStart w:id="5" w:name="Creswell"/>
          <w:r w:rsidRPr="00D00B5E">
            <w:rPr>
              <w:rFonts w:ascii="Cambria" w:hAnsi="Cambria"/>
              <w:color w:val="000000"/>
            </w:rPr>
            <w:t>Creswell</w:t>
          </w:r>
          <w:bookmarkEnd w:id="5"/>
          <w:r w:rsidRPr="00D00B5E">
            <w:rPr>
              <w:rFonts w:ascii="Cambria" w:hAnsi="Cambria"/>
              <w:color w:val="000000"/>
            </w:rPr>
            <w:t xml:space="preserve">, J. W., &amp; Poth, C. N. (2016). </w:t>
          </w:r>
          <w:r w:rsidRPr="00D00B5E">
            <w:rPr>
              <w:rFonts w:ascii="Cambria" w:hAnsi="Cambria"/>
              <w:i/>
              <w:iCs/>
              <w:color w:val="000000"/>
            </w:rPr>
            <w:t>Qualitative inquiry and research design: Choosing among five approaches</w:t>
          </w:r>
          <w:r w:rsidRPr="00D00B5E">
            <w:rPr>
              <w:rFonts w:ascii="Cambria" w:hAnsi="Cambria"/>
              <w:color w:val="000000"/>
            </w:rPr>
            <w:t>. Sage publications.</w:t>
          </w:r>
        </w:p>
        <w:p w14:paraId="5B538E90" w14:textId="77777777" w:rsidR="008C5517" w:rsidRPr="00D00B5E" w:rsidRDefault="008C5517" w:rsidP="00D00B5E">
          <w:pPr>
            <w:autoSpaceDE w:val="0"/>
            <w:autoSpaceDN w:val="0"/>
            <w:spacing w:after="0" w:line="240" w:lineRule="auto"/>
            <w:ind w:hanging="480"/>
            <w:jc w:val="both"/>
            <w:divId w:val="741948020"/>
            <w:rPr>
              <w:rFonts w:ascii="Cambria" w:hAnsi="Cambria"/>
              <w:color w:val="000000"/>
            </w:rPr>
          </w:pPr>
          <w:bookmarkStart w:id="6" w:name="Dikilitaş"/>
          <w:proofErr w:type="spellStart"/>
          <w:r w:rsidRPr="00D00B5E">
            <w:rPr>
              <w:rFonts w:ascii="Cambria" w:hAnsi="Cambria"/>
              <w:color w:val="000000"/>
            </w:rPr>
            <w:t>Dikilitaş</w:t>
          </w:r>
          <w:bookmarkEnd w:id="6"/>
          <w:proofErr w:type="spellEnd"/>
          <w:r w:rsidRPr="00D00B5E">
            <w:rPr>
              <w:rFonts w:ascii="Cambria" w:hAnsi="Cambria"/>
              <w:color w:val="000000"/>
            </w:rPr>
            <w:t xml:space="preserve">, K. (2024). Student engagement through action research. In </w:t>
          </w:r>
          <w:r w:rsidRPr="00D00B5E">
            <w:rPr>
              <w:rFonts w:ascii="Cambria" w:hAnsi="Cambria"/>
              <w:i/>
              <w:iCs/>
              <w:color w:val="000000"/>
            </w:rPr>
            <w:t>The Routledge Handbook of Language Teacher Action Research: Pp</w:t>
          </w:r>
          <w:r w:rsidRPr="00D00B5E">
            <w:rPr>
              <w:rFonts w:ascii="Cambria" w:hAnsi="Cambria"/>
              <w:color w:val="000000"/>
            </w:rPr>
            <w:t xml:space="preserve"> (pp. 96–107). Taylor and Francis. https://doi.org/10.4324/9781003367352-11</w:t>
          </w:r>
        </w:p>
        <w:p w14:paraId="6A72D12A" w14:textId="77777777" w:rsidR="008C5517" w:rsidRPr="00D00B5E" w:rsidRDefault="008C5517" w:rsidP="00D00B5E">
          <w:pPr>
            <w:autoSpaceDE w:val="0"/>
            <w:autoSpaceDN w:val="0"/>
            <w:spacing w:after="0" w:line="240" w:lineRule="auto"/>
            <w:ind w:hanging="480"/>
            <w:jc w:val="both"/>
            <w:divId w:val="1335113465"/>
            <w:rPr>
              <w:rFonts w:ascii="Cambria" w:hAnsi="Cambria"/>
              <w:color w:val="000000"/>
            </w:rPr>
          </w:pPr>
          <w:bookmarkStart w:id="7" w:name="Graesser"/>
          <w:r w:rsidRPr="00D00B5E">
            <w:rPr>
              <w:rFonts w:ascii="Cambria" w:hAnsi="Cambria"/>
              <w:color w:val="000000"/>
            </w:rPr>
            <w:t>Graesser</w:t>
          </w:r>
          <w:bookmarkEnd w:id="7"/>
          <w:r w:rsidRPr="00D00B5E">
            <w:rPr>
              <w:rFonts w:ascii="Cambria" w:hAnsi="Cambria"/>
              <w:color w:val="000000"/>
            </w:rPr>
            <w:t xml:space="preserve">, A. C., Fiore, S. M., Greiff, S., Andrews-Todd, J., Foltz, P. W., &amp; Hesse, F. W. (2018). Advancing the science of collaborative problem solving. </w:t>
          </w:r>
          <w:r w:rsidRPr="00D00B5E">
            <w:rPr>
              <w:rFonts w:ascii="Cambria" w:hAnsi="Cambria"/>
              <w:i/>
              <w:iCs/>
              <w:color w:val="000000"/>
            </w:rPr>
            <w:t>Psychological Science in the Public Interest</w:t>
          </w:r>
          <w:r w:rsidRPr="00D00B5E">
            <w:rPr>
              <w:rFonts w:ascii="Cambria" w:hAnsi="Cambria"/>
              <w:color w:val="000000"/>
            </w:rPr>
            <w:t xml:space="preserve">, </w:t>
          </w:r>
          <w:r w:rsidRPr="00D00B5E">
            <w:rPr>
              <w:rFonts w:ascii="Cambria" w:hAnsi="Cambria"/>
              <w:i/>
              <w:iCs/>
              <w:color w:val="000000"/>
            </w:rPr>
            <w:t>19</w:t>
          </w:r>
          <w:r w:rsidRPr="00D00B5E">
            <w:rPr>
              <w:rFonts w:ascii="Cambria" w:hAnsi="Cambria"/>
              <w:color w:val="000000"/>
            </w:rPr>
            <w:t>(2), 59–92.</w:t>
          </w:r>
        </w:p>
        <w:p w14:paraId="51CF23C7" w14:textId="77777777" w:rsidR="008C5517" w:rsidRPr="00D00B5E" w:rsidRDefault="008C5517" w:rsidP="00D00B5E">
          <w:pPr>
            <w:autoSpaceDE w:val="0"/>
            <w:autoSpaceDN w:val="0"/>
            <w:spacing w:after="0" w:line="240" w:lineRule="auto"/>
            <w:ind w:hanging="480"/>
            <w:jc w:val="both"/>
            <w:divId w:val="1742406251"/>
            <w:rPr>
              <w:rFonts w:ascii="Cambria" w:hAnsi="Cambria"/>
              <w:color w:val="000000"/>
            </w:rPr>
          </w:pPr>
          <w:bookmarkStart w:id="8" w:name="Hagendijk"/>
          <w:proofErr w:type="spellStart"/>
          <w:r w:rsidRPr="00D00B5E">
            <w:rPr>
              <w:rFonts w:ascii="Cambria" w:hAnsi="Cambria"/>
              <w:color w:val="000000"/>
            </w:rPr>
            <w:t>Hagendijk</w:t>
          </w:r>
          <w:bookmarkEnd w:id="8"/>
          <w:proofErr w:type="spellEnd"/>
          <w:r w:rsidRPr="00D00B5E">
            <w:rPr>
              <w:rFonts w:ascii="Cambria" w:hAnsi="Cambria"/>
              <w:color w:val="000000"/>
            </w:rPr>
            <w:t xml:space="preserve">, M. E., Zipfel, N., Van Der Wees, P. J., Melles, M., Hoving, J. L., &amp; Van Der Burg-Vermeulen, S. J. (2024). Value-based healthcare for social insurance medicine: key enablers for adoption in practice. </w:t>
          </w:r>
          <w:r w:rsidRPr="00D00B5E">
            <w:rPr>
              <w:rFonts w:ascii="Cambria" w:hAnsi="Cambria"/>
              <w:i/>
              <w:iCs/>
              <w:color w:val="000000"/>
            </w:rPr>
            <w:t>BMJ Open Quality</w:t>
          </w:r>
          <w:r w:rsidRPr="00D00B5E">
            <w:rPr>
              <w:rFonts w:ascii="Cambria" w:hAnsi="Cambria"/>
              <w:color w:val="000000"/>
            </w:rPr>
            <w:t xml:space="preserve">, </w:t>
          </w:r>
          <w:r w:rsidRPr="00D00B5E">
            <w:rPr>
              <w:rFonts w:ascii="Cambria" w:hAnsi="Cambria"/>
              <w:i/>
              <w:iCs/>
              <w:color w:val="000000"/>
            </w:rPr>
            <w:t>13</w:t>
          </w:r>
          <w:r w:rsidRPr="00D00B5E">
            <w:rPr>
              <w:rFonts w:ascii="Cambria" w:hAnsi="Cambria"/>
              <w:color w:val="000000"/>
            </w:rPr>
            <w:t>(4), Article e002878. https://doi.org/10.1136/bmjoq-2024-002878</w:t>
          </w:r>
        </w:p>
        <w:p w14:paraId="129C7C3C" w14:textId="77777777" w:rsidR="008C5517" w:rsidRPr="00D00B5E" w:rsidRDefault="008C5517" w:rsidP="00D00B5E">
          <w:pPr>
            <w:autoSpaceDE w:val="0"/>
            <w:autoSpaceDN w:val="0"/>
            <w:spacing w:after="0" w:line="240" w:lineRule="auto"/>
            <w:ind w:hanging="480"/>
            <w:jc w:val="both"/>
            <w:divId w:val="1555702342"/>
            <w:rPr>
              <w:rFonts w:ascii="Cambria" w:hAnsi="Cambria"/>
              <w:color w:val="000000"/>
            </w:rPr>
          </w:pPr>
          <w:bookmarkStart w:id="9" w:name="Hansen"/>
          <w:r w:rsidRPr="00D00B5E">
            <w:rPr>
              <w:rFonts w:ascii="Cambria" w:hAnsi="Cambria"/>
              <w:color w:val="000000"/>
            </w:rPr>
            <w:t>Hansen</w:t>
          </w:r>
          <w:bookmarkEnd w:id="9"/>
          <w:r w:rsidRPr="00D00B5E">
            <w:rPr>
              <w:rFonts w:ascii="Cambria" w:hAnsi="Cambria"/>
              <w:color w:val="000000"/>
            </w:rPr>
            <w:t xml:space="preserve">, S. F., Nielsen, M. B., Skjolding, L. M., Kaur, J., </w:t>
          </w:r>
          <w:proofErr w:type="spellStart"/>
          <w:r w:rsidRPr="00D00B5E">
            <w:rPr>
              <w:rFonts w:ascii="Cambria" w:hAnsi="Cambria"/>
              <w:color w:val="000000"/>
            </w:rPr>
            <w:t>Desivyana</w:t>
          </w:r>
          <w:proofErr w:type="spellEnd"/>
          <w:r w:rsidRPr="00D00B5E">
            <w:rPr>
              <w:rFonts w:ascii="Cambria" w:hAnsi="Cambria"/>
              <w:color w:val="000000"/>
            </w:rPr>
            <w:t xml:space="preserve">, N., Hermansson, F., Bird, J., Barg, S., </w:t>
          </w:r>
          <w:proofErr w:type="spellStart"/>
          <w:r w:rsidRPr="00D00B5E">
            <w:rPr>
              <w:rFonts w:ascii="Cambria" w:hAnsi="Cambria"/>
              <w:color w:val="000000"/>
            </w:rPr>
            <w:t>Khort</w:t>
          </w:r>
          <w:proofErr w:type="spellEnd"/>
          <w:r w:rsidRPr="00D00B5E">
            <w:rPr>
              <w:rFonts w:ascii="Cambria" w:hAnsi="Cambria"/>
              <w:color w:val="000000"/>
            </w:rPr>
            <w:t xml:space="preserve">, A., </w:t>
          </w:r>
          <w:proofErr w:type="spellStart"/>
          <w:r w:rsidRPr="00D00B5E">
            <w:rPr>
              <w:rFonts w:ascii="Cambria" w:hAnsi="Cambria"/>
              <w:color w:val="000000"/>
            </w:rPr>
            <w:t>Odnevall</w:t>
          </w:r>
          <w:proofErr w:type="spellEnd"/>
          <w:r w:rsidRPr="00D00B5E">
            <w:rPr>
              <w:rFonts w:ascii="Cambria" w:hAnsi="Cambria"/>
              <w:color w:val="000000"/>
            </w:rPr>
            <w:t xml:space="preserve">, I., </w:t>
          </w:r>
          <w:proofErr w:type="spellStart"/>
          <w:r w:rsidRPr="00D00B5E">
            <w:rPr>
              <w:rFonts w:ascii="Cambria" w:hAnsi="Cambria"/>
              <w:color w:val="000000"/>
            </w:rPr>
            <w:t>Fadeel</w:t>
          </w:r>
          <w:proofErr w:type="spellEnd"/>
          <w:r w:rsidRPr="00D00B5E">
            <w:rPr>
              <w:rFonts w:ascii="Cambria" w:hAnsi="Cambria"/>
              <w:color w:val="000000"/>
            </w:rPr>
            <w:t xml:space="preserve">, B., &amp; Arvidsson, R. (2024). Maximizing the safety and sustainability of </w:t>
          </w:r>
          <w:proofErr w:type="spellStart"/>
          <w:r w:rsidRPr="00D00B5E">
            <w:rPr>
              <w:rFonts w:ascii="Cambria" w:hAnsi="Cambria"/>
              <w:color w:val="000000"/>
            </w:rPr>
            <w:t>MXenes</w:t>
          </w:r>
          <w:proofErr w:type="spellEnd"/>
          <w:r w:rsidRPr="00D00B5E">
            <w:rPr>
              <w:rFonts w:ascii="Cambria" w:hAnsi="Cambria"/>
              <w:color w:val="000000"/>
            </w:rPr>
            <w:t xml:space="preserve">. </w:t>
          </w:r>
          <w:r w:rsidRPr="00D00B5E">
            <w:rPr>
              <w:rFonts w:ascii="Cambria" w:hAnsi="Cambria"/>
              <w:i/>
              <w:iCs/>
              <w:color w:val="000000"/>
            </w:rPr>
            <w:t>Scientific Reports</w:t>
          </w:r>
          <w:r w:rsidRPr="00D00B5E">
            <w:rPr>
              <w:rFonts w:ascii="Cambria" w:hAnsi="Cambria"/>
              <w:color w:val="000000"/>
            </w:rPr>
            <w:t xml:space="preserve">, </w:t>
          </w:r>
          <w:r w:rsidRPr="00D00B5E">
            <w:rPr>
              <w:rFonts w:ascii="Cambria" w:hAnsi="Cambria"/>
              <w:i/>
              <w:iCs/>
              <w:color w:val="000000"/>
            </w:rPr>
            <w:t>14</w:t>
          </w:r>
          <w:r w:rsidRPr="00D00B5E">
            <w:rPr>
              <w:rFonts w:ascii="Cambria" w:hAnsi="Cambria"/>
              <w:color w:val="000000"/>
            </w:rPr>
            <w:t>(1), Article 31030. https://doi.org/10.1038/s41598-024-82063-w</w:t>
          </w:r>
        </w:p>
        <w:p w14:paraId="1856D5B4" w14:textId="77777777" w:rsidR="008C5517" w:rsidRPr="00D00B5E" w:rsidRDefault="008C5517" w:rsidP="00D00B5E">
          <w:pPr>
            <w:autoSpaceDE w:val="0"/>
            <w:autoSpaceDN w:val="0"/>
            <w:spacing w:after="0" w:line="240" w:lineRule="auto"/>
            <w:ind w:hanging="480"/>
            <w:jc w:val="both"/>
            <w:divId w:val="854030740"/>
            <w:rPr>
              <w:rFonts w:ascii="Cambria" w:hAnsi="Cambria"/>
              <w:color w:val="000000"/>
            </w:rPr>
          </w:pPr>
          <w:bookmarkStart w:id="10" w:name="Kadio"/>
          <w:r w:rsidRPr="00D00B5E">
            <w:rPr>
              <w:rFonts w:ascii="Cambria" w:hAnsi="Cambria"/>
              <w:color w:val="000000"/>
            </w:rPr>
            <w:t>Kadio</w:t>
          </w:r>
          <w:bookmarkEnd w:id="10"/>
          <w:r w:rsidRPr="00D00B5E">
            <w:rPr>
              <w:rFonts w:ascii="Cambria" w:hAnsi="Cambria"/>
              <w:color w:val="000000"/>
            </w:rPr>
            <w:t xml:space="preserve">, K., Song, M. Y., Karbasi, A., Blake-Hepburn, D., Fadel, S. A., Allin, S., </w:t>
          </w:r>
          <w:proofErr w:type="spellStart"/>
          <w:r w:rsidRPr="00D00B5E">
            <w:rPr>
              <w:rFonts w:ascii="Cambria" w:hAnsi="Cambria"/>
              <w:color w:val="000000"/>
            </w:rPr>
            <w:t>Ataullahjan</w:t>
          </w:r>
          <w:proofErr w:type="spellEnd"/>
          <w:r w:rsidRPr="00D00B5E">
            <w:rPr>
              <w:rFonts w:ascii="Cambria" w:hAnsi="Cambria"/>
              <w:color w:val="000000"/>
            </w:rPr>
            <w:t xml:space="preserve">, A., &amp; Di Ruggiero, E. (2024). How have Ontario Public Health units engaged with faith-based organizations to build confidence in COVID-19 vaccines among ethno-racial communities. </w:t>
          </w:r>
          <w:proofErr w:type="spellStart"/>
          <w:r w:rsidRPr="00D00B5E">
            <w:rPr>
              <w:rFonts w:ascii="Cambria" w:hAnsi="Cambria"/>
              <w:i/>
              <w:iCs/>
              <w:color w:val="000000"/>
            </w:rPr>
            <w:t>Plos</w:t>
          </w:r>
          <w:proofErr w:type="spellEnd"/>
          <w:r w:rsidRPr="00D00B5E">
            <w:rPr>
              <w:rFonts w:ascii="Cambria" w:hAnsi="Cambria"/>
              <w:i/>
              <w:iCs/>
              <w:color w:val="000000"/>
            </w:rPr>
            <w:t xml:space="preserve"> Global Public Health</w:t>
          </w:r>
          <w:r w:rsidRPr="00D00B5E">
            <w:rPr>
              <w:rFonts w:ascii="Cambria" w:hAnsi="Cambria"/>
              <w:color w:val="000000"/>
            </w:rPr>
            <w:t xml:space="preserve">, </w:t>
          </w:r>
          <w:r w:rsidRPr="00D00B5E">
            <w:rPr>
              <w:rFonts w:ascii="Cambria" w:hAnsi="Cambria"/>
              <w:i/>
              <w:iCs/>
              <w:color w:val="000000"/>
            </w:rPr>
            <w:t>4</w:t>
          </w:r>
          <w:r w:rsidRPr="00D00B5E">
            <w:rPr>
              <w:rFonts w:ascii="Cambria" w:hAnsi="Cambria"/>
              <w:color w:val="000000"/>
            </w:rPr>
            <w:t>(12), Article e0003924. https://doi.org/10.1371/journal.pgph.0003924</w:t>
          </w:r>
        </w:p>
        <w:p w14:paraId="56510DF1" w14:textId="77777777" w:rsidR="008C5517" w:rsidRPr="00D00B5E" w:rsidRDefault="008C5517" w:rsidP="00D00B5E">
          <w:pPr>
            <w:autoSpaceDE w:val="0"/>
            <w:autoSpaceDN w:val="0"/>
            <w:spacing w:after="0" w:line="240" w:lineRule="auto"/>
            <w:ind w:hanging="480"/>
            <w:jc w:val="both"/>
            <w:divId w:val="1102647501"/>
            <w:rPr>
              <w:rFonts w:ascii="Cambria" w:hAnsi="Cambria"/>
              <w:color w:val="000000"/>
            </w:rPr>
          </w:pPr>
          <w:bookmarkStart w:id="11" w:name="Koehler"/>
          <w:r w:rsidRPr="00D00B5E">
            <w:rPr>
              <w:rFonts w:ascii="Cambria" w:hAnsi="Cambria"/>
              <w:color w:val="000000"/>
            </w:rPr>
            <w:t>Koehler</w:t>
          </w:r>
          <w:bookmarkEnd w:id="11"/>
          <w:r w:rsidRPr="00D00B5E">
            <w:rPr>
              <w:rFonts w:ascii="Cambria" w:hAnsi="Cambria"/>
              <w:color w:val="000000"/>
            </w:rPr>
            <w:t xml:space="preserve">, A. A., &amp; Vilarinho-Pereira, D. R. (2023). Using social media affordances to support Ill-structured problem-solving skills: considering possibilities and challenges. </w:t>
          </w:r>
          <w:r w:rsidRPr="00D00B5E">
            <w:rPr>
              <w:rFonts w:ascii="Cambria" w:hAnsi="Cambria"/>
              <w:i/>
              <w:iCs/>
              <w:color w:val="000000"/>
            </w:rPr>
            <w:t>Educational Technology Research and Development</w:t>
          </w:r>
          <w:r w:rsidRPr="00D00B5E">
            <w:rPr>
              <w:rFonts w:ascii="Cambria" w:hAnsi="Cambria"/>
              <w:color w:val="000000"/>
            </w:rPr>
            <w:t xml:space="preserve">, </w:t>
          </w:r>
          <w:r w:rsidRPr="00D00B5E">
            <w:rPr>
              <w:rFonts w:ascii="Cambria" w:hAnsi="Cambria"/>
              <w:i/>
              <w:iCs/>
              <w:color w:val="000000"/>
            </w:rPr>
            <w:t>71</w:t>
          </w:r>
          <w:r w:rsidRPr="00D00B5E">
            <w:rPr>
              <w:rFonts w:ascii="Cambria" w:hAnsi="Cambria"/>
              <w:color w:val="000000"/>
            </w:rPr>
            <w:t>(2), 199–235.</w:t>
          </w:r>
        </w:p>
        <w:p w14:paraId="7E90AF30" w14:textId="77777777" w:rsidR="008C5517" w:rsidRPr="00D00B5E" w:rsidRDefault="008C5517" w:rsidP="00D00B5E">
          <w:pPr>
            <w:autoSpaceDE w:val="0"/>
            <w:autoSpaceDN w:val="0"/>
            <w:spacing w:after="0" w:line="240" w:lineRule="auto"/>
            <w:ind w:hanging="480"/>
            <w:jc w:val="both"/>
            <w:divId w:val="1078137245"/>
            <w:rPr>
              <w:rFonts w:ascii="Cambria" w:hAnsi="Cambria"/>
              <w:color w:val="000000"/>
            </w:rPr>
          </w:pPr>
          <w:bookmarkStart w:id="12" w:name="Kumar"/>
          <w:r w:rsidRPr="00D00B5E">
            <w:rPr>
              <w:rFonts w:ascii="Cambria" w:hAnsi="Cambria"/>
              <w:color w:val="000000"/>
            </w:rPr>
            <w:t>Kumar</w:t>
          </w:r>
          <w:bookmarkEnd w:id="12"/>
          <w:r w:rsidRPr="00D00B5E">
            <w:rPr>
              <w:rFonts w:ascii="Cambria" w:hAnsi="Cambria"/>
              <w:color w:val="000000"/>
            </w:rPr>
            <w:t xml:space="preserve">, P., Sharma, L., &amp; Sharma, N. C. (2024). Sustainable development balancing economic viability, environmental protection, and social equity. In </w:t>
          </w:r>
          <w:r w:rsidRPr="00D00B5E">
            <w:rPr>
              <w:rFonts w:ascii="Cambria" w:hAnsi="Cambria"/>
              <w:i/>
              <w:iCs/>
              <w:color w:val="000000"/>
            </w:rPr>
            <w:t>Sustainable partnership and investment strategies for startups and SMEs</w:t>
          </w:r>
          <w:r w:rsidRPr="00D00B5E">
            <w:rPr>
              <w:rFonts w:ascii="Cambria" w:hAnsi="Cambria"/>
              <w:color w:val="000000"/>
            </w:rPr>
            <w:t xml:space="preserve"> (pp. 212–234). IGI Global Scientific Publishing.</w:t>
          </w:r>
        </w:p>
        <w:p w14:paraId="0F9DC013" w14:textId="77777777" w:rsidR="008C5517" w:rsidRPr="00D00B5E" w:rsidRDefault="008C5517" w:rsidP="00D00B5E">
          <w:pPr>
            <w:autoSpaceDE w:val="0"/>
            <w:autoSpaceDN w:val="0"/>
            <w:spacing w:after="0" w:line="240" w:lineRule="auto"/>
            <w:ind w:hanging="480"/>
            <w:jc w:val="both"/>
            <w:divId w:val="1929195300"/>
            <w:rPr>
              <w:rFonts w:ascii="Cambria" w:hAnsi="Cambria"/>
              <w:color w:val="000000"/>
            </w:rPr>
          </w:pPr>
          <w:bookmarkStart w:id="13" w:name="Lorenzetti"/>
          <w:r w:rsidRPr="00D00B5E">
            <w:rPr>
              <w:rFonts w:ascii="Cambria" w:hAnsi="Cambria"/>
              <w:color w:val="000000"/>
            </w:rPr>
            <w:t>Lorenzetti</w:t>
          </w:r>
          <w:bookmarkEnd w:id="13"/>
          <w:r w:rsidRPr="00D00B5E">
            <w:rPr>
              <w:rFonts w:ascii="Cambria" w:hAnsi="Cambria"/>
              <w:color w:val="000000"/>
            </w:rPr>
            <w:t xml:space="preserve">, L., Halvorsen, J., Dhungel, R., Lorenzetti, D., </w:t>
          </w:r>
          <w:proofErr w:type="spellStart"/>
          <w:r w:rsidRPr="00D00B5E">
            <w:rPr>
              <w:rFonts w:ascii="Cambria" w:hAnsi="Cambria"/>
              <w:color w:val="000000"/>
            </w:rPr>
            <w:t>Oshchepkova</w:t>
          </w:r>
          <w:proofErr w:type="spellEnd"/>
          <w:r w:rsidRPr="00D00B5E">
            <w:rPr>
              <w:rFonts w:ascii="Cambria" w:hAnsi="Cambria"/>
              <w:color w:val="000000"/>
            </w:rPr>
            <w:t xml:space="preserve">, T., Haile, L., &amp; </w:t>
          </w:r>
          <w:proofErr w:type="spellStart"/>
          <w:r w:rsidRPr="00D00B5E">
            <w:rPr>
              <w:rFonts w:ascii="Cambria" w:hAnsi="Cambria"/>
              <w:color w:val="000000"/>
            </w:rPr>
            <w:t>Biscette</w:t>
          </w:r>
          <w:proofErr w:type="spellEnd"/>
          <w:r w:rsidRPr="00D00B5E">
            <w:rPr>
              <w:rFonts w:ascii="Cambria" w:hAnsi="Cambria"/>
              <w:color w:val="000000"/>
            </w:rPr>
            <w:t xml:space="preserve">, K. (2019). Community based mentors and journey guides: a transformative learning approach to social work education. </w:t>
          </w:r>
          <w:r w:rsidRPr="00D00B5E">
            <w:rPr>
              <w:rFonts w:ascii="Cambria" w:hAnsi="Cambria"/>
              <w:i/>
              <w:iCs/>
              <w:color w:val="000000"/>
            </w:rPr>
            <w:t>Social Work Education</w:t>
          </w:r>
          <w:r w:rsidRPr="00D00B5E">
            <w:rPr>
              <w:rFonts w:ascii="Cambria" w:hAnsi="Cambria"/>
              <w:color w:val="000000"/>
            </w:rPr>
            <w:t xml:space="preserve">, </w:t>
          </w:r>
          <w:r w:rsidRPr="00D00B5E">
            <w:rPr>
              <w:rFonts w:ascii="Cambria" w:hAnsi="Cambria"/>
              <w:i/>
              <w:iCs/>
              <w:color w:val="000000"/>
            </w:rPr>
            <w:t>38</w:t>
          </w:r>
          <w:r w:rsidRPr="00D00B5E">
            <w:rPr>
              <w:rFonts w:ascii="Cambria" w:hAnsi="Cambria"/>
              <w:color w:val="000000"/>
            </w:rPr>
            <w:t>(7), 875–893.</w:t>
          </w:r>
        </w:p>
        <w:p w14:paraId="31DE414A" w14:textId="77777777" w:rsidR="008C5517" w:rsidRPr="00D00B5E" w:rsidRDefault="008C5517" w:rsidP="00D00B5E">
          <w:pPr>
            <w:autoSpaceDE w:val="0"/>
            <w:autoSpaceDN w:val="0"/>
            <w:spacing w:after="0" w:line="240" w:lineRule="auto"/>
            <w:ind w:hanging="480"/>
            <w:jc w:val="both"/>
            <w:divId w:val="798571254"/>
            <w:rPr>
              <w:rFonts w:ascii="Cambria" w:hAnsi="Cambria"/>
              <w:color w:val="000000"/>
            </w:rPr>
          </w:pPr>
          <w:bookmarkStart w:id="14" w:name="Mamirov"/>
          <w:r w:rsidRPr="00D00B5E">
            <w:rPr>
              <w:rFonts w:ascii="Cambria" w:hAnsi="Cambria"/>
              <w:color w:val="000000"/>
            </w:rPr>
            <w:t>Mamirov</w:t>
          </w:r>
          <w:bookmarkEnd w:id="14"/>
          <w:r w:rsidRPr="00D00B5E">
            <w:rPr>
              <w:rFonts w:ascii="Cambria" w:hAnsi="Cambria"/>
              <w:color w:val="000000"/>
            </w:rPr>
            <w:t xml:space="preserve">, T., Ozherelyev, D., </w:t>
          </w:r>
          <w:proofErr w:type="spellStart"/>
          <w:r w:rsidRPr="00D00B5E">
            <w:rPr>
              <w:rFonts w:ascii="Cambria" w:hAnsi="Cambria"/>
              <w:color w:val="000000"/>
            </w:rPr>
            <w:t>Artyukhova</w:t>
          </w:r>
          <w:proofErr w:type="spellEnd"/>
          <w:r w:rsidRPr="00D00B5E">
            <w:rPr>
              <w:rFonts w:ascii="Cambria" w:hAnsi="Cambria"/>
              <w:color w:val="000000"/>
            </w:rPr>
            <w:t xml:space="preserve">, O., </w:t>
          </w:r>
          <w:proofErr w:type="spellStart"/>
          <w:r w:rsidRPr="00D00B5E">
            <w:rPr>
              <w:rFonts w:ascii="Cambria" w:hAnsi="Cambria"/>
              <w:color w:val="000000"/>
            </w:rPr>
            <w:t>Otcherednoy</w:t>
          </w:r>
          <w:proofErr w:type="spellEnd"/>
          <w:r w:rsidRPr="00D00B5E">
            <w:rPr>
              <w:rFonts w:ascii="Cambria" w:hAnsi="Cambria"/>
              <w:color w:val="000000"/>
            </w:rPr>
            <w:t xml:space="preserve">, A., Lada, A., </w:t>
          </w:r>
          <w:proofErr w:type="spellStart"/>
          <w:r w:rsidRPr="00D00B5E">
            <w:rPr>
              <w:rFonts w:ascii="Cambria" w:hAnsi="Cambria"/>
              <w:color w:val="000000"/>
            </w:rPr>
            <w:t>Vikulova</w:t>
          </w:r>
          <w:proofErr w:type="spellEnd"/>
          <w:r w:rsidRPr="00D00B5E">
            <w:rPr>
              <w:rFonts w:ascii="Cambria" w:hAnsi="Cambria"/>
              <w:color w:val="000000"/>
            </w:rPr>
            <w:t xml:space="preserve">, N., Aminova, R., Eskendirov, K., Ferapontov, A., &amp; Kuandyk, S. (2024). New Cultural and Technological </w:t>
          </w:r>
          <w:r w:rsidRPr="00D00B5E">
            <w:rPr>
              <w:rFonts w:ascii="Cambria" w:hAnsi="Cambria"/>
              <w:color w:val="000000"/>
            </w:rPr>
            <w:lastRenderedPageBreak/>
            <w:t xml:space="preserve">Paradigms in Paleolithic Discoveries in the </w:t>
          </w:r>
          <w:proofErr w:type="spellStart"/>
          <w:r w:rsidRPr="00D00B5E">
            <w:rPr>
              <w:rFonts w:ascii="Cambria" w:hAnsi="Cambria"/>
              <w:color w:val="000000"/>
            </w:rPr>
            <w:t>Zhetysu</w:t>
          </w:r>
          <w:proofErr w:type="spellEnd"/>
          <w:r w:rsidRPr="00D00B5E">
            <w:rPr>
              <w:rFonts w:ascii="Cambria" w:hAnsi="Cambria"/>
              <w:color w:val="000000"/>
            </w:rPr>
            <w:t xml:space="preserve"> and Northern Balkhash regions. </w:t>
          </w:r>
          <w:r w:rsidRPr="00D00B5E">
            <w:rPr>
              <w:rFonts w:ascii="Cambria" w:hAnsi="Cambria"/>
              <w:i/>
              <w:iCs/>
              <w:color w:val="000000"/>
            </w:rPr>
            <w:t>Kazakhstan Archeology</w:t>
          </w:r>
          <w:r w:rsidRPr="00D00B5E">
            <w:rPr>
              <w:rFonts w:ascii="Cambria" w:hAnsi="Cambria"/>
              <w:color w:val="000000"/>
            </w:rPr>
            <w:t xml:space="preserve">, </w:t>
          </w:r>
          <w:r w:rsidRPr="00D00B5E">
            <w:rPr>
              <w:rFonts w:ascii="Cambria" w:hAnsi="Cambria"/>
              <w:i/>
              <w:iCs/>
              <w:color w:val="000000"/>
            </w:rPr>
            <w:t>26</w:t>
          </w:r>
          <w:r w:rsidRPr="00D00B5E">
            <w:rPr>
              <w:rFonts w:ascii="Cambria" w:hAnsi="Cambria"/>
              <w:color w:val="000000"/>
            </w:rPr>
            <w:t>(4), 11–26. https://doi.org/10.52967/akz2024.4.26.11.26</w:t>
          </w:r>
        </w:p>
        <w:p w14:paraId="367B8A0D" w14:textId="77777777" w:rsidR="008C5517" w:rsidRPr="00D00B5E" w:rsidRDefault="008C5517" w:rsidP="00D00B5E">
          <w:pPr>
            <w:autoSpaceDE w:val="0"/>
            <w:autoSpaceDN w:val="0"/>
            <w:spacing w:after="0" w:line="240" w:lineRule="auto"/>
            <w:ind w:hanging="480"/>
            <w:jc w:val="both"/>
            <w:divId w:val="567149769"/>
            <w:rPr>
              <w:rFonts w:ascii="Cambria" w:hAnsi="Cambria"/>
              <w:color w:val="000000"/>
            </w:rPr>
          </w:pPr>
          <w:bookmarkStart w:id="15" w:name="Marroquín"/>
          <w:r w:rsidRPr="00D00B5E">
            <w:rPr>
              <w:rFonts w:ascii="Cambria" w:hAnsi="Cambria"/>
              <w:color w:val="000000"/>
            </w:rPr>
            <w:t>Marroquín</w:t>
          </w:r>
          <w:bookmarkEnd w:id="15"/>
          <w:r w:rsidRPr="00D00B5E">
            <w:rPr>
              <w:rFonts w:ascii="Cambria" w:hAnsi="Cambria"/>
              <w:color w:val="000000"/>
            </w:rPr>
            <w:t xml:space="preserve">, B., Vine, V., &amp; Morgan, R. (2020). Mental health during the COVID-19 pandemic: Effects of stay-at-home policies, social distancing behavior, and social resources. </w:t>
          </w:r>
          <w:r w:rsidRPr="00D00B5E">
            <w:rPr>
              <w:rFonts w:ascii="Cambria" w:hAnsi="Cambria"/>
              <w:i/>
              <w:iCs/>
              <w:color w:val="000000"/>
            </w:rPr>
            <w:t>Psychiatry Research</w:t>
          </w:r>
          <w:r w:rsidRPr="00D00B5E">
            <w:rPr>
              <w:rFonts w:ascii="Cambria" w:hAnsi="Cambria"/>
              <w:color w:val="000000"/>
            </w:rPr>
            <w:t xml:space="preserve">, </w:t>
          </w:r>
          <w:r w:rsidRPr="00D00B5E">
            <w:rPr>
              <w:rFonts w:ascii="Cambria" w:hAnsi="Cambria"/>
              <w:i/>
              <w:iCs/>
              <w:color w:val="000000"/>
            </w:rPr>
            <w:t>293</w:t>
          </w:r>
          <w:r w:rsidRPr="00D00B5E">
            <w:rPr>
              <w:rFonts w:ascii="Cambria" w:hAnsi="Cambria"/>
              <w:color w:val="000000"/>
            </w:rPr>
            <w:t>, 113419.</w:t>
          </w:r>
        </w:p>
        <w:p w14:paraId="3C6BEA37" w14:textId="77777777" w:rsidR="008C5517" w:rsidRPr="00D00B5E" w:rsidRDefault="008C5517" w:rsidP="00D00B5E">
          <w:pPr>
            <w:autoSpaceDE w:val="0"/>
            <w:autoSpaceDN w:val="0"/>
            <w:spacing w:after="0" w:line="240" w:lineRule="auto"/>
            <w:ind w:hanging="480"/>
            <w:jc w:val="both"/>
            <w:divId w:val="1891379081"/>
            <w:rPr>
              <w:rFonts w:ascii="Cambria" w:hAnsi="Cambria"/>
              <w:color w:val="000000"/>
            </w:rPr>
          </w:pPr>
          <w:bookmarkStart w:id="16" w:name="Qiu"/>
          <w:r w:rsidRPr="00D00B5E">
            <w:rPr>
              <w:rFonts w:ascii="Cambria" w:hAnsi="Cambria"/>
              <w:color w:val="000000"/>
            </w:rPr>
            <w:t>Qiu</w:t>
          </w:r>
          <w:bookmarkEnd w:id="16"/>
          <w:r w:rsidRPr="00D00B5E">
            <w:rPr>
              <w:rFonts w:ascii="Cambria" w:hAnsi="Cambria"/>
              <w:color w:val="000000"/>
            </w:rPr>
            <w:t xml:space="preserve">, M., Meng, X., &amp; Shang, H. (2024). Modeling and simulation of whole-link SNR of fluorescence endoscope | </w:t>
          </w:r>
          <w:proofErr w:type="spellStart"/>
          <w:r w:rsidRPr="00D00B5E">
            <w:rPr>
              <w:rFonts w:ascii="Cambria" w:hAnsi="Cambria"/>
              <w:color w:val="000000"/>
            </w:rPr>
            <w:t>荧光内窥镜全链路信噪比模型的建立与仿真</w:t>
          </w:r>
          <w:proofErr w:type="spellEnd"/>
          <w:r w:rsidRPr="00D00B5E">
            <w:rPr>
              <w:rFonts w:ascii="Cambria" w:hAnsi="Cambria"/>
              <w:color w:val="000000"/>
            </w:rPr>
            <w:t xml:space="preserve">. </w:t>
          </w:r>
          <w:r w:rsidRPr="00D00B5E">
            <w:rPr>
              <w:rFonts w:ascii="Cambria" w:hAnsi="Cambria"/>
              <w:i/>
              <w:iCs/>
              <w:color w:val="000000"/>
            </w:rPr>
            <w:t>Infrared and Laser Engineering</w:t>
          </w:r>
          <w:r w:rsidRPr="00D00B5E">
            <w:rPr>
              <w:rFonts w:ascii="Cambria" w:hAnsi="Cambria"/>
              <w:color w:val="000000"/>
            </w:rPr>
            <w:t xml:space="preserve">, </w:t>
          </w:r>
          <w:r w:rsidRPr="00D00B5E">
            <w:rPr>
              <w:rFonts w:ascii="Cambria" w:hAnsi="Cambria"/>
              <w:i/>
              <w:iCs/>
              <w:color w:val="000000"/>
            </w:rPr>
            <w:t>53</w:t>
          </w:r>
          <w:r w:rsidRPr="00D00B5E">
            <w:rPr>
              <w:rFonts w:ascii="Cambria" w:hAnsi="Cambria"/>
              <w:color w:val="000000"/>
            </w:rPr>
            <w:t>(12), Article 20240356. https://doi.org/10.3788/IRLA20240356</w:t>
          </w:r>
        </w:p>
        <w:p w14:paraId="1305237D" w14:textId="77777777" w:rsidR="008C5517" w:rsidRPr="00D00B5E" w:rsidRDefault="008C5517" w:rsidP="00D00B5E">
          <w:pPr>
            <w:autoSpaceDE w:val="0"/>
            <w:autoSpaceDN w:val="0"/>
            <w:spacing w:after="0" w:line="240" w:lineRule="auto"/>
            <w:ind w:hanging="480"/>
            <w:jc w:val="both"/>
            <w:divId w:val="2089224329"/>
            <w:rPr>
              <w:rFonts w:ascii="Cambria" w:hAnsi="Cambria"/>
              <w:color w:val="000000"/>
            </w:rPr>
          </w:pPr>
          <w:bookmarkStart w:id="17" w:name="Sturk"/>
          <w:proofErr w:type="spellStart"/>
          <w:r w:rsidRPr="00D00B5E">
            <w:rPr>
              <w:rFonts w:ascii="Cambria" w:hAnsi="Cambria"/>
              <w:color w:val="000000"/>
            </w:rPr>
            <w:t>Sturk</w:t>
          </w:r>
          <w:bookmarkEnd w:id="17"/>
          <w:r w:rsidRPr="00D00B5E">
            <w:rPr>
              <w:rFonts w:ascii="Cambria" w:hAnsi="Cambria"/>
              <w:color w:val="000000"/>
            </w:rPr>
            <w:t>-Andreaggi</w:t>
          </w:r>
          <w:proofErr w:type="spellEnd"/>
          <w:r w:rsidRPr="00D00B5E">
            <w:rPr>
              <w:rFonts w:ascii="Cambria" w:hAnsi="Cambria"/>
              <w:color w:val="000000"/>
            </w:rPr>
            <w:t xml:space="preserve">, K., Parson, W., Allen, M., &amp; Marshall, C. (2020). Impact of the sequencing method on the detection and interpretation of mitochondrial DNA length </w:t>
          </w:r>
          <w:proofErr w:type="spellStart"/>
          <w:r w:rsidRPr="00D00B5E">
            <w:rPr>
              <w:rFonts w:ascii="Cambria" w:hAnsi="Cambria"/>
              <w:color w:val="000000"/>
            </w:rPr>
            <w:t>heteroplasmy</w:t>
          </w:r>
          <w:proofErr w:type="spellEnd"/>
          <w:r w:rsidRPr="00D00B5E">
            <w:rPr>
              <w:rFonts w:ascii="Cambria" w:hAnsi="Cambria"/>
              <w:color w:val="000000"/>
            </w:rPr>
            <w:t xml:space="preserve">. </w:t>
          </w:r>
          <w:r w:rsidRPr="00D00B5E">
            <w:rPr>
              <w:rFonts w:ascii="Cambria" w:hAnsi="Cambria"/>
              <w:i/>
              <w:iCs/>
              <w:color w:val="000000"/>
            </w:rPr>
            <w:t>Forensic Science International: Genetics</w:t>
          </w:r>
          <w:r w:rsidRPr="00D00B5E">
            <w:rPr>
              <w:rFonts w:ascii="Cambria" w:hAnsi="Cambria"/>
              <w:color w:val="000000"/>
            </w:rPr>
            <w:t xml:space="preserve">, </w:t>
          </w:r>
          <w:r w:rsidRPr="00D00B5E">
            <w:rPr>
              <w:rFonts w:ascii="Cambria" w:hAnsi="Cambria"/>
              <w:i/>
              <w:iCs/>
              <w:color w:val="000000"/>
            </w:rPr>
            <w:t>44</w:t>
          </w:r>
          <w:r w:rsidRPr="00D00B5E">
            <w:rPr>
              <w:rFonts w:ascii="Cambria" w:hAnsi="Cambria"/>
              <w:color w:val="000000"/>
            </w:rPr>
            <w:t>, 102205.</w:t>
          </w:r>
        </w:p>
        <w:p w14:paraId="472F2E47" w14:textId="77777777" w:rsidR="008C5517" w:rsidRPr="00D00B5E" w:rsidRDefault="008C5517" w:rsidP="00D00B5E">
          <w:pPr>
            <w:autoSpaceDE w:val="0"/>
            <w:autoSpaceDN w:val="0"/>
            <w:spacing w:after="0" w:line="240" w:lineRule="auto"/>
            <w:ind w:hanging="480"/>
            <w:jc w:val="both"/>
            <w:divId w:val="1284000838"/>
            <w:rPr>
              <w:rFonts w:ascii="Cambria" w:hAnsi="Cambria"/>
              <w:color w:val="000000"/>
            </w:rPr>
          </w:pPr>
          <w:bookmarkStart w:id="18" w:name="Szczepanska"/>
          <w:proofErr w:type="spellStart"/>
          <w:r w:rsidRPr="00D00B5E">
            <w:rPr>
              <w:rFonts w:ascii="Cambria" w:hAnsi="Cambria"/>
              <w:color w:val="000000"/>
            </w:rPr>
            <w:t>Szczepanska</w:t>
          </w:r>
          <w:bookmarkEnd w:id="18"/>
          <w:r w:rsidRPr="00D00B5E">
            <w:rPr>
              <w:rFonts w:ascii="Cambria" w:hAnsi="Cambria"/>
              <w:color w:val="000000"/>
            </w:rPr>
            <w:t>-Woszczyna</w:t>
          </w:r>
          <w:proofErr w:type="spellEnd"/>
          <w:r w:rsidRPr="00D00B5E">
            <w:rPr>
              <w:rFonts w:ascii="Cambria" w:hAnsi="Cambria"/>
              <w:color w:val="000000"/>
            </w:rPr>
            <w:t xml:space="preserve">, K., Lyulyov, O., Pimonenko, T., Infante-Moro, A., Zimbroff, A., &amp; </w:t>
          </w:r>
          <w:proofErr w:type="spellStart"/>
          <w:r w:rsidRPr="00D00B5E">
            <w:rPr>
              <w:rFonts w:ascii="Cambria" w:hAnsi="Cambria"/>
              <w:color w:val="000000"/>
            </w:rPr>
            <w:t>Solodovnikov</w:t>
          </w:r>
          <w:proofErr w:type="spellEnd"/>
          <w:r w:rsidRPr="00D00B5E">
            <w:rPr>
              <w:rFonts w:ascii="Cambria" w:hAnsi="Cambria"/>
              <w:color w:val="000000"/>
            </w:rPr>
            <w:t xml:space="preserve">, S. (2024). The Contribution of Higher Education to Innovation Development: Long-Term and Short-Term Analysis. </w:t>
          </w:r>
          <w:r w:rsidRPr="00D00B5E">
            <w:rPr>
              <w:rFonts w:ascii="Cambria" w:hAnsi="Cambria"/>
              <w:i/>
              <w:iCs/>
              <w:color w:val="000000"/>
            </w:rPr>
            <w:t xml:space="preserve">Forum Scientiae </w:t>
          </w:r>
          <w:proofErr w:type="spellStart"/>
          <w:r w:rsidRPr="00D00B5E">
            <w:rPr>
              <w:rFonts w:ascii="Cambria" w:hAnsi="Cambria"/>
              <w:i/>
              <w:iCs/>
              <w:color w:val="000000"/>
            </w:rPr>
            <w:t>Oeconomia</w:t>
          </w:r>
          <w:proofErr w:type="spellEnd"/>
          <w:r w:rsidRPr="00D00B5E">
            <w:rPr>
              <w:rFonts w:ascii="Cambria" w:hAnsi="Cambria"/>
              <w:color w:val="000000"/>
            </w:rPr>
            <w:t xml:space="preserve">, </w:t>
          </w:r>
          <w:r w:rsidRPr="00D00B5E">
            <w:rPr>
              <w:rFonts w:ascii="Cambria" w:hAnsi="Cambria"/>
              <w:i/>
              <w:iCs/>
              <w:color w:val="000000"/>
            </w:rPr>
            <w:t>12</w:t>
          </w:r>
          <w:r w:rsidRPr="00D00B5E">
            <w:rPr>
              <w:rFonts w:ascii="Cambria" w:hAnsi="Cambria"/>
              <w:color w:val="000000"/>
            </w:rPr>
            <w:t>(4), 8–29. https://doi.org/10.23762/FSO_VOL12_NO4_1</w:t>
          </w:r>
        </w:p>
        <w:p w14:paraId="780F38A6" w14:textId="77777777" w:rsidR="008C5517" w:rsidRPr="00D00B5E" w:rsidRDefault="008C5517" w:rsidP="00D00B5E">
          <w:pPr>
            <w:autoSpaceDE w:val="0"/>
            <w:autoSpaceDN w:val="0"/>
            <w:spacing w:after="0" w:line="240" w:lineRule="auto"/>
            <w:ind w:hanging="480"/>
            <w:jc w:val="both"/>
            <w:divId w:val="974868277"/>
            <w:rPr>
              <w:rFonts w:ascii="Cambria" w:hAnsi="Cambria"/>
              <w:color w:val="000000"/>
            </w:rPr>
          </w:pPr>
          <w:bookmarkStart w:id="19" w:name="Viviers"/>
          <w:r w:rsidRPr="00D00B5E">
            <w:rPr>
              <w:rFonts w:ascii="Cambria" w:hAnsi="Cambria"/>
              <w:color w:val="000000"/>
            </w:rPr>
            <w:t>Viviers</w:t>
          </w:r>
          <w:bookmarkEnd w:id="19"/>
          <w:r w:rsidRPr="00D00B5E">
            <w:rPr>
              <w:rFonts w:ascii="Cambria" w:hAnsi="Cambria"/>
              <w:color w:val="000000"/>
            </w:rPr>
            <w:t xml:space="preserve">, S., Dionne, P., &amp; Supeno, E. (2023). Guidance counsellors’ work as a transformative activity: Supporting social justice through advocacy. </w:t>
          </w:r>
          <w:r w:rsidRPr="00D00B5E">
            <w:rPr>
              <w:rFonts w:ascii="Cambria" w:hAnsi="Cambria"/>
              <w:i/>
              <w:iCs/>
              <w:color w:val="000000"/>
            </w:rPr>
            <w:t>British Journal of Guidance &amp; Counselling</w:t>
          </w:r>
          <w:r w:rsidRPr="00D00B5E">
            <w:rPr>
              <w:rFonts w:ascii="Cambria" w:hAnsi="Cambria"/>
              <w:color w:val="000000"/>
            </w:rPr>
            <w:t xml:space="preserve">, </w:t>
          </w:r>
          <w:r w:rsidRPr="00D00B5E">
            <w:rPr>
              <w:rFonts w:ascii="Cambria" w:hAnsi="Cambria"/>
              <w:i/>
              <w:iCs/>
              <w:color w:val="000000"/>
            </w:rPr>
            <w:t>51</w:t>
          </w:r>
          <w:r w:rsidRPr="00D00B5E">
            <w:rPr>
              <w:rFonts w:ascii="Cambria" w:hAnsi="Cambria"/>
              <w:color w:val="000000"/>
            </w:rPr>
            <w:t>(5), 765–780.</w:t>
          </w:r>
        </w:p>
        <w:p w14:paraId="7AFD36DB" w14:textId="77777777" w:rsidR="008C5517" w:rsidRPr="00D00B5E" w:rsidRDefault="008C5517" w:rsidP="00D00B5E">
          <w:pPr>
            <w:autoSpaceDE w:val="0"/>
            <w:autoSpaceDN w:val="0"/>
            <w:spacing w:after="0" w:line="240" w:lineRule="auto"/>
            <w:ind w:hanging="480"/>
            <w:jc w:val="both"/>
            <w:divId w:val="1629893814"/>
            <w:rPr>
              <w:rFonts w:ascii="Cambria" w:hAnsi="Cambria"/>
              <w:color w:val="000000"/>
            </w:rPr>
          </w:pPr>
          <w:bookmarkStart w:id="20" w:name="Williams"/>
          <w:r w:rsidRPr="00D00B5E">
            <w:rPr>
              <w:rFonts w:ascii="Cambria" w:hAnsi="Cambria"/>
              <w:color w:val="000000"/>
            </w:rPr>
            <w:t>Williams</w:t>
          </w:r>
          <w:bookmarkEnd w:id="20"/>
          <w:r w:rsidRPr="00D00B5E">
            <w:rPr>
              <w:rFonts w:ascii="Cambria" w:hAnsi="Cambria"/>
              <w:color w:val="000000"/>
            </w:rPr>
            <w:t xml:space="preserve">-Johnson, M., &amp; Rickert, N. P. (2024). Critical analysis of parental involvement in school: Working with families across sociocultural contexts. In </w:t>
          </w:r>
          <w:r w:rsidRPr="00D00B5E">
            <w:rPr>
              <w:rFonts w:ascii="Cambria" w:hAnsi="Cambria"/>
              <w:i/>
              <w:iCs/>
              <w:color w:val="000000"/>
            </w:rPr>
            <w:t>Critical Analysis of Parental Involvement in School: Working with Families Across Sociocultural Contexts: Pp</w:t>
          </w:r>
          <w:r w:rsidRPr="00D00B5E">
            <w:rPr>
              <w:rFonts w:ascii="Cambria" w:hAnsi="Cambria"/>
              <w:color w:val="000000"/>
            </w:rPr>
            <w:t>. Taylor and Francis. https://doi.org/10.4324/9781003407362</w:t>
          </w:r>
        </w:p>
        <w:p w14:paraId="5F2E67D1" w14:textId="77777777" w:rsidR="008C5517" w:rsidRPr="00D00B5E" w:rsidRDefault="008C5517" w:rsidP="00D00B5E">
          <w:pPr>
            <w:autoSpaceDE w:val="0"/>
            <w:autoSpaceDN w:val="0"/>
            <w:spacing w:after="0" w:line="240" w:lineRule="auto"/>
            <w:ind w:hanging="480"/>
            <w:jc w:val="both"/>
            <w:divId w:val="1938782086"/>
            <w:rPr>
              <w:rFonts w:ascii="Cambria" w:hAnsi="Cambria"/>
              <w:color w:val="000000"/>
            </w:rPr>
          </w:pPr>
          <w:bookmarkStart w:id="21" w:name="Yan"/>
          <w:r w:rsidRPr="00D00B5E">
            <w:rPr>
              <w:rFonts w:ascii="Cambria" w:hAnsi="Cambria"/>
              <w:color w:val="000000"/>
            </w:rPr>
            <w:t>Yan</w:t>
          </w:r>
          <w:bookmarkEnd w:id="21"/>
          <w:r w:rsidRPr="00D00B5E">
            <w:rPr>
              <w:rFonts w:ascii="Cambria" w:hAnsi="Cambria"/>
              <w:color w:val="000000"/>
            </w:rPr>
            <w:t xml:space="preserve">, T., Luo, W., Wang, H., Zhang, C., &amp; Guo, S. (2024). Research on the field of view characteristics of the birefringent Doppler wind imaging interferometer under optical misalignment | </w:t>
          </w:r>
          <w:proofErr w:type="spellStart"/>
          <w:r w:rsidRPr="00D00B5E">
            <w:rPr>
              <w:rFonts w:ascii="Cambria" w:hAnsi="Cambria"/>
              <w:color w:val="000000"/>
            </w:rPr>
            <w:t>双折射多普勒风成像干涉仪光学失配下视场特性研究</w:t>
          </w:r>
          <w:proofErr w:type="spellEnd"/>
          <w:r w:rsidRPr="00D00B5E">
            <w:rPr>
              <w:rFonts w:ascii="Cambria" w:hAnsi="Cambria"/>
              <w:color w:val="000000"/>
            </w:rPr>
            <w:t xml:space="preserve">. </w:t>
          </w:r>
          <w:r w:rsidRPr="00D00B5E">
            <w:rPr>
              <w:rFonts w:ascii="Cambria" w:hAnsi="Cambria"/>
              <w:i/>
              <w:iCs/>
              <w:color w:val="000000"/>
            </w:rPr>
            <w:t>Infrared and Laser Engineering</w:t>
          </w:r>
          <w:r w:rsidRPr="00D00B5E">
            <w:rPr>
              <w:rFonts w:ascii="Cambria" w:hAnsi="Cambria"/>
              <w:color w:val="000000"/>
            </w:rPr>
            <w:t xml:space="preserve">, </w:t>
          </w:r>
          <w:r w:rsidRPr="00D00B5E">
            <w:rPr>
              <w:rFonts w:ascii="Cambria" w:hAnsi="Cambria"/>
              <w:i/>
              <w:iCs/>
              <w:color w:val="000000"/>
            </w:rPr>
            <w:t>53</w:t>
          </w:r>
          <w:r w:rsidRPr="00D00B5E">
            <w:rPr>
              <w:rFonts w:ascii="Cambria" w:hAnsi="Cambria"/>
              <w:color w:val="000000"/>
            </w:rPr>
            <w:t>(12), Article 20240397. https://doi.org/10.3788/IRLA20240397</w:t>
          </w:r>
        </w:p>
        <w:p w14:paraId="097B21D8" w14:textId="62254B70" w:rsidR="008C5517" w:rsidRPr="00D00B5E" w:rsidRDefault="008C5517" w:rsidP="00D00B5E">
          <w:pPr>
            <w:spacing w:after="0" w:line="240" w:lineRule="auto"/>
            <w:jc w:val="both"/>
            <w:rPr>
              <w:rFonts w:ascii="Cambria" w:hAnsi="Cambria"/>
            </w:rPr>
          </w:pPr>
          <w:r w:rsidRPr="00D00B5E">
            <w:rPr>
              <w:rFonts w:ascii="Cambria" w:hAnsi="Cambria"/>
              <w:color w:val="000000"/>
            </w:rPr>
            <w:t> </w:t>
          </w:r>
        </w:p>
      </w:sdtContent>
    </w:sdt>
    <w:p w14:paraId="53CE05CD" w14:textId="77777777" w:rsidR="008C5517" w:rsidRDefault="008C5517">
      <w:pPr>
        <w:rPr>
          <w:rFonts w:ascii="Cambria Math" w:eastAsia="Times New Roman" w:hAnsi="Cambria Math" w:cs="Times New Roman"/>
        </w:rPr>
      </w:pPr>
    </w:p>
    <w:p w14:paraId="21C17B5E" w14:textId="77777777" w:rsidR="008C5517" w:rsidRDefault="008C5517">
      <w:pPr>
        <w:rPr>
          <w:rFonts w:ascii="Cambria Math" w:eastAsia="Times New Roman" w:hAnsi="Cambria Math" w:cs="Times New Roman"/>
        </w:rPr>
      </w:pPr>
    </w:p>
    <w:p w14:paraId="16A67C39" w14:textId="77777777" w:rsidR="008C5517" w:rsidRDefault="008C5517">
      <w:pPr>
        <w:tabs>
          <w:tab w:val="left" w:pos="1459"/>
        </w:tabs>
        <w:rPr>
          <w:rFonts w:ascii="Cambria Math" w:eastAsia="Times New Roman" w:hAnsi="Cambria Math" w:cs="Times New Roman"/>
        </w:rPr>
      </w:pPr>
    </w:p>
    <w:sectPr w:rsidR="008C5517" w:rsidSect="00DA163B">
      <w:headerReference w:type="default" r:id="rId13"/>
      <w:footerReference w:type="default" r:id="rId14"/>
      <w:headerReference w:type="first" r:id="rId15"/>
      <w:footerReference w:type="first" r:id="rId16"/>
      <w:pgSz w:w="11907" w:h="16840"/>
      <w:pgMar w:top="799" w:right="1134" w:bottom="816" w:left="1134" w:header="1134" w:footer="68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5D618C" w14:textId="77777777" w:rsidR="0058380C" w:rsidRDefault="0058380C">
      <w:pPr>
        <w:spacing w:line="240" w:lineRule="auto"/>
      </w:pPr>
      <w:r>
        <w:separator/>
      </w:r>
    </w:p>
  </w:endnote>
  <w:endnote w:type="continuationSeparator" w:id="0">
    <w:p w14:paraId="0B5BB4BC" w14:textId="77777777" w:rsidR="0058380C" w:rsidRDefault="005838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Jamia2014">
    <w:altName w:val="SimSun"/>
    <w:charset w:val="86"/>
    <w:family w:val="auto"/>
    <w:pitch w:val="default"/>
  </w:font>
  <w:font w:name="Tahoma">
    <w:panose1 w:val="020B0604030504040204"/>
    <w:charset w:val="00"/>
    <w:family w:val="swiss"/>
    <w:pitch w:val="variable"/>
    <w:sig w:usb0="E1002EFF" w:usb1="C000605B" w:usb2="00000029" w:usb3="00000000" w:csb0="000101FF" w:csb1="00000000"/>
    <w:embedRegular r:id="rId1" w:fontKey="{44FCE0DD-B377-4233-8ED2-9CABE84D7FC6}"/>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B0677C5-9EAA-4C53-82D1-AA90E6049F01}"/>
    <w:embedItalic r:id="rId3" w:fontKey="{39EFEF2B-1822-4C12-9450-C5DF65B898EE}"/>
  </w:font>
  <w:font w:name="Cambria Math">
    <w:panose1 w:val="02040503050406030204"/>
    <w:charset w:val="00"/>
    <w:family w:val="roman"/>
    <w:pitch w:val="variable"/>
    <w:sig w:usb0="E00006FF" w:usb1="420024FF" w:usb2="02000000" w:usb3="00000000" w:csb0="0000019F" w:csb1="00000000"/>
    <w:embedRegular r:id="rId4" w:fontKey="{DD474623-8365-474B-A255-4DD42BD6DFE9}"/>
    <w:embedBold r:id="rId5" w:fontKey="{94531253-80A6-418F-B713-DF0646B0F883}"/>
  </w:font>
  <w:font w:name="Book Antiqua">
    <w:panose1 w:val="02040602050305030304"/>
    <w:charset w:val="00"/>
    <w:family w:val="roman"/>
    <w:pitch w:val="variable"/>
    <w:sig w:usb0="00000287" w:usb1="00000000" w:usb2="00000000" w:usb3="00000000" w:csb0="0000009F" w:csb1="00000000"/>
    <w:embedRegular r:id="rId6" w:fontKey="{429003E3-79AC-4330-8167-098DC53EDE97}"/>
    <w:embedBold r:id="rId7" w:fontKey="{070B3697-3B21-4FD6-A299-458728461C05}"/>
    <w:embedItalic r:id="rId8" w:fontKey="{864E8579-AC4F-481A-A5A3-D7D2A0965932}"/>
    <w:embedBoldItalic r:id="rId9" w:fontKey="{280540E0-E2BF-4D25-A464-53D30317FD94}"/>
  </w:font>
  <w:font w:name="Cambria">
    <w:panose1 w:val="02040503050406030204"/>
    <w:charset w:val="00"/>
    <w:family w:val="roman"/>
    <w:pitch w:val="variable"/>
    <w:sig w:usb0="E00006FF" w:usb1="420024FF" w:usb2="02000000" w:usb3="00000000" w:csb0="0000019F" w:csb1="00000000"/>
    <w:embedRegular r:id="rId10" w:fontKey="{897D1FFC-D193-43DA-8081-09B7433A5104}"/>
    <w:embedItalic r:id="rId11" w:fontKey="{33A938D9-A54B-44B9-9F1B-2E060D08EA80}"/>
  </w:font>
  <w:font w:name="Calibri">
    <w:panose1 w:val="020F0502020204030204"/>
    <w:charset w:val="00"/>
    <w:family w:val="swiss"/>
    <w:pitch w:val="variable"/>
    <w:sig w:usb0="E4002EFF" w:usb1="C200247B" w:usb2="00000009" w:usb3="00000000" w:csb0="000001FF" w:csb1="00000000"/>
    <w:embedRegular r:id="rId12" w:fontKey="{FC4E2328-D5F7-48C0-ABA5-35590CB815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6A33B" w14:textId="77777777" w:rsidR="00794373" w:rsidRDefault="00794373">
    <w:pPr>
      <w:pStyle w:val="Footer"/>
      <w:rPr>
        <w:caps/>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562"/>
    </w:tblGrid>
    <w:tr w:rsidR="00794373" w14:paraId="1A56A33E" w14:textId="77777777">
      <w:tc>
        <w:tcPr>
          <w:tcW w:w="7366" w:type="dxa"/>
        </w:tcPr>
        <w:p w14:paraId="1A56A33C" w14:textId="77777777" w:rsidR="00794373" w:rsidRDefault="0058380C">
          <w:pPr>
            <w:tabs>
              <w:tab w:val="center" w:pos="4320"/>
              <w:tab w:val="right" w:pos="8640"/>
            </w:tabs>
            <w:spacing w:after="0" w:line="240" w:lineRule="auto"/>
          </w:pPr>
          <w:r>
            <w:rPr>
              <w:rFonts w:ascii="Cambria Math" w:eastAsia="Book Antiqua" w:hAnsi="Cambria Math" w:cs="Book Antiqua"/>
              <w:color w:val="000000"/>
            </w:rPr>
            <w:t>https://asesment.staiku.ac.id/index.php/mt/index</w:t>
          </w:r>
        </w:p>
      </w:tc>
      <w:tc>
        <w:tcPr>
          <w:tcW w:w="562" w:type="dxa"/>
        </w:tcPr>
        <w:p w14:paraId="1A56A33D" w14:textId="77777777" w:rsidR="00794373" w:rsidRDefault="0058380C">
          <w:pPr>
            <w:pStyle w:val="Footer"/>
            <w:jc w:val="center"/>
            <w:rPr>
              <w:caps/>
              <w:color w:val="000000" w:themeColor="text1"/>
            </w:rPr>
          </w:pPr>
          <w:r>
            <w:rPr>
              <w:caps/>
              <w:color w:val="000000" w:themeColor="text1"/>
            </w:rPr>
            <w:fldChar w:fldCharType="begin"/>
          </w:r>
          <w:r>
            <w:rPr>
              <w:caps/>
              <w:color w:val="000000" w:themeColor="text1"/>
            </w:rPr>
            <w:instrText>PAGE   \* MERGEFORMAT</w:instrText>
          </w:r>
          <w:r>
            <w:rPr>
              <w:caps/>
              <w:color w:val="000000" w:themeColor="text1"/>
            </w:rPr>
            <w:fldChar w:fldCharType="separate"/>
          </w:r>
          <w:r>
            <w:rPr>
              <w:caps/>
              <w:color w:val="000000" w:themeColor="text1"/>
            </w:rPr>
            <w:t>2</w:t>
          </w:r>
          <w:r>
            <w:rPr>
              <w:caps/>
              <w:color w:val="000000" w:themeColor="text1"/>
            </w:rPr>
            <w:fldChar w:fldCharType="end"/>
          </w:r>
        </w:p>
      </w:tc>
    </w:tr>
  </w:tbl>
  <w:p w14:paraId="1A56A33F" w14:textId="77777777" w:rsidR="00794373" w:rsidRDefault="00794373">
    <w:pPr>
      <w:tabs>
        <w:tab w:val="center" w:pos="4320"/>
        <w:tab w:val="right" w:pos="8640"/>
      </w:tabs>
      <w:spacing w:after="0" w:line="240" w:lineRule="auto"/>
      <w:rPr>
        <w:rFonts w:ascii="Cambria Math" w:eastAsia="Book Antiqua" w:hAnsi="Cambria Math" w:cs="Book Antiqua"/>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562"/>
    </w:tblGrid>
    <w:tr w:rsidR="00794373" w14:paraId="1A56A343" w14:textId="77777777">
      <w:tc>
        <w:tcPr>
          <w:tcW w:w="7366" w:type="dxa"/>
        </w:tcPr>
        <w:p w14:paraId="1A56A341" w14:textId="77777777" w:rsidR="00794373" w:rsidRDefault="0058380C">
          <w:pPr>
            <w:tabs>
              <w:tab w:val="center" w:pos="4320"/>
              <w:tab w:val="right" w:pos="8640"/>
            </w:tabs>
            <w:spacing w:after="0" w:line="240" w:lineRule="auto"/>
          </w:pPr>
          <w:r>
            <w:rPr>
              <w:rFonts w:ascii="Cambria Math" w:eastAsia="Book Antiqua" w:hAnsi="Cambria Math" w:cs="Book Antiqua"/>
              <w:color w:val="000000"/>
            </w:rPr>
            <w:t>https://asesment.staiku.ac.id/index.php/mt/index</w:t>
          </w:r>
        </w:p>
      </w:tc>
      <w:tc>
        <w:tcPr>
          <w:tcW w:w="562" w:type="dxa"/>
        </w:tcPr>
        <w:p w14:paraId="1A56A342" w14:textId="77777777" w:rsidR="00794373" w:rsidRDefault="0058380C">
          <w:pPr>
            <w:pStyle w:val="Footer"/>
            <w:jc w:val="center"/>
            <w:rPr>
              <w:caps/>
              <w:color w:val="000000" w:themeColor="text1"/>
            </w:rPr>
          </w:pPr>
          <w:r>
            <w:rPr>
              <w:caps/>
              <w:color w:val="000000" w:themeColor="text1"/>
            </w:rPr>
            <w:t xml:space="preserve">    </w:t>
          </w:r>
          <w:r>
            <w:rPr>
              <w:caps/>
              <w:color w:val="000000" w:themeColor="text1"/>
            </w:rPr>
            <w:fldChar w:fldCharType="begin"/>
          </w:r>
          <w:r>
            <w:rPr>
              <w:caps/>
              <w:color w:val="000000" w:themeColor="text1"/>
            </w:rPr>
            <w:instrText>PAGE   \* MERGEFORMAT</w:instrText>
          </w:r>
          <w:r>
            <w:rPr>
              <w:caps/>
              <w:color w:val="000000" w:themeColor="text1"/>
            </w:rPr>
            <w:fldChar w:fldCharType="separate"/>
          </w:r>
          <w:r>
            <w:rPr>
              <w:caps/>
              <w:color w:val="000000" w:themeColor="text1"/>
            </w:rPr>
            <w:t>2</w:t>
          </w:r>
          <w:r>
            <w:rPr>
              <w:caps/>
              <w:color w:val="000000" w:themeColor="text1"/>
            </w:rPr>
            <w:fldChar w:fldCharType="end"/>
          </w:r>
        </w:p>
      </w:tc>
    </w:tr>
  </w:tbl>
  <w:p w14:paraId="1A56A344" w14:textId="77777777" w:rsidR="00794373" w:rsidRDefault="0058380C">
    <w:pPr>
      <w:tabs>
        <w:tab w:val="center" w:pos="4320"/>
        <w:tab w:val="right" w:pos="8640"/>
      </w:tabs>
      <w:spacing w:after="0" w:line="240" w:lineRule="auto"/>
      <w:rPr>
        <w:rFonts w:ascii="Book Antiqua" w:eastAsia="Book Antiqua" w:hAnsi="Book Antiqua" w:cs="Book Antiqua"/>
        <w:color w:val="000000"/>
      </w:rPr>
    </w:pPr>
    <w:r>
      <w:rPr>
        <w:noProof/>
      </w:rPr>
      <mc:AlternateContent>
        <mc:Choice Requires="wps">
          <w:drawing>
            <wp:anchor distT="0" distB="0" distL="114300" distR="114300" simplePos="0" relativeHeight="251660288" behindDoc="0" locked="0" layoutInCell="1" allowOverlap="1" wp14:anchorId="1A56A345" wp14:editId="1A56A346">
              <wp:simplePos x="0" y="0"/>
              <wp:positionH relativeFrom="column">
                <wp:posOffset>0</wp:posOffset>
              </wp:positionH>
              <wp:positionV relativeFrom="paragraph">
                <wp:posOffset>-494665</wp:posOffset>
              </wp:positionV>
              <wp:extent cx="0" cy="12700"/>
              <wp:effectExtent l="0" t="0" r="0" b="0"/>
              <wp:wrapNone/>
              <wp:docPr id="14" name="Straight Arrow Connector 14"/>
              <wp:cNvGraphicFramePr/>
              <a:graphic xmlns:a="http://schemas.openxmlformats.org/drawingml/2006/main">
                <a:graphicData uri="http://schemas.microsoft.com/office/word/2010/wordprocessingShape">
                  <wps:wsp>
                    <wps:cNvCnPr/>
                    <wps:spPr>
                      <a:xfrm>
                        <a:off x="2793300" y="3780000"/>
                        <a:ext cx="51054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173249D8" id="_x0000_t32" coordsize="21600,21600" o:spt="32" o:oned="t" path="m,l21600,21600e" filled="f">
              <v:path arrowok="t" fillok="f" o:connecttype="none"/>
              <o:lock v:ext="edit" shapetype="t"/>
            </v:shapetype>
            <v:shape id="Straight Arrow Connector 14" o:spid="_x0000_s1026" type="#_x0000_t32" style="position:absolute;margin-left:0;margin-top:-38.95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" strokecolor="black [3200]">
              <v:stroke startarrowwidth="narrow" startarrowlength="short" endarrowwidth="narrow" endarrowlength="shor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0CE93C" w14:textId="77777777" w:rsidR="0058380C" w:rsidRDefault="0058380C">
      <w:pPr>
        <w:spacing w:after="0"/>
      </w:pPr>
      <w:r>
        <w:separator/>
      </w:r>
    </w:p>
  </w:footnote>
  <w:footnote w:type="continuationSeparator" w:id="0">
    <w:p w14:paraId="4331F5E1" w14:textId="77777777" w:rsidR="0058380C" w:rsidRDefault="0058380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6A339" w14:textId="06659837" w:rsidR="00794373" w:rsidRPr="00DA163B" w:rsidRDefault="00DA163B">
    <w:pPr>
      <w:pBdr>
        <w:bottom w:val="single" w:sz="4" w:space="1" w:color="000000"/>
      </w:pBdr>
      <w:tabs>
        <w:tab w:val="center" w:pos="4320"/>
        <w:tab w:val="right" w:pos="8640"/>
      </w:tabs>
      <w:spacing w:after="0" w:line="240" w:lineRule="auto"/>
      <w:rPr>
        <w:rFonts w:ascii="Cambria Math" w:eastAsia="Book Antiqua" w:hAnsi="Cambria Math" w:cs="Book Antiqua"/>
        <w:b/>
        <w:bCs/>
        <w:color w:val="000000"/>
      </w:rPr>
    </w:pPr>
    <w:r w:rsidRPr="00DA163B">
      <w:rPr>
        <w:rFonts w:ascii="Cambria Math" w:eastAsia="Book Antiqua" w:hAnsi="Cambria Math" w:cs="Book Antiqua"/>
        <w:color w:val="000000"/>
      </w:rPr>
      <w:t xml:space="preserve">Betsi Siti </w:t>
    </w:r>
    <w:proofErr w:type="spellStart"/>
    <w:r w:rsidRPr="00DA163B">
      <w:rPr>
        <w:rFonts w:ascii="Cambria Math" w:eastAsia="Book Antiqua" w:hAnsi="Cambria Math" w:cs="Book Antiqua"/>
        <w:color w:val="000000"/>
      </w:rPr>
      <w:t>Nurhidayah</w:t>
    </w:r>
    <w:proofErr w:type="spellEnd"/>
    <w:r w:rsidRPr="00DA163B">
      <w:rPr>
        <w:rFonts w:ascii="Cambria Math" w:eastAsia="Book Antiqua" w:hAnsi="Cambria Math" w:cs="Book Antiqua"/>
        <w:color w:val="000000"/>
      </w:rPr>
      <w:t xml:space="preserve"> </w:t>
    </w:r>
  </w:p>
  <w:p w14:paraId="1A56A33A" w14:textId="77777777" w:rsidR="00794373" w:rsidRDefault="00794373">
    <w:pPr>
      <w:tabs>
        <w:tab w:val="center" w:pos="4320"/>
        <w:tab w:val="right" w:pos="864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6A340" w14:textId="77777777" w:rsidR="00794373" w:rsidRDefault="00794373">
    <w:pPr>
      <w:tabs>
        <w:tab w:val="center" w:pos="4320"/>
        <w:tab w:val="right" w:pos="864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C29"/>
    <w:rsid w:val="00031F9C"/>
    <w:rsid w:val="000462C4"/>
    <w:rsid w:val="00053489"/>
    <w:rsid w:val="00055419"/>
    <w:rsid w:val="00057860"/>
    <w:rsid w:val="000773BB"/>
    <w:rsid w:val="00082277"/>
    <w:rsid w:val="00087989"/>
    <w:rsid w:val="000A4756"/>
    <w:rsid w:val="000D6B99"/>
    <w:rsid w:val="000E192A"/>
    <w:rsid w:val="000F00AB"/>
    <w:rsid w:val="00131944"/>
    <w:rsid w:val="0013698E"/>
    <w:rsid w:val="00137F07"/>
    <w:rsid w:val="00140DE7"/>
    <w:rsid w:val="00153C50"/>
    <w:rsid w:val="001679A7"/>
    <w:rsid w:val="00182966"/>
    <w:rsid w:val="00184E4D"/>
    <w:rsid w:val="00186EFC"/>
    <w:rsid w:val="00195ADD"/>
    <w:rsid w:val="001A0348"/>
    <w:rsid w:val="001B545D"/>
    <w:rsid w:val="001C4FE5"/>
    <w:rsid w:val="001D0E21"/>
    <w:rsid w:val="001D78CC"/>
    <w:rsid w:val="00203DB2"/>
    <w:rsid w:val="00221327"/>
    <w:rsid w:val="00232CBB"/>
    <w:rsid w:val="00257054"/>
    <w:rsid w:val="00261317"/>
    <w:rsid w:val="002B4AB4"/>
    <w:rsid w:val="002C252D"/>
    <w:rsid w:val="002C612A"/>
    <w:rsid w:val="002D254A"/>
    <w:rsid w:val="002E0E0C"/>
    <w:rsid w:val="002E655B"/>
    <w:rsid w:val="002F0043"/>
    <w:rsid w:val="00307B23"/>
    <w:rsid w:val="00310DDE"/>
    <w:rsid w:val="0031406E"/>
    <w:rsid w:val="00314BA6"/>
    <w:rsid w:val="00370C6A"/>
    <w:rsid w:val="00380287"/>
    <w:rsid w:val="003A695A"/>
    <w:rsid w:val="003D0134"/>
    <w:rsid w:val="003D327D"/>
    <w:rsid w:val="003E451F"/>
    <w:rsid w:val="003F2FB7"/>
    <w:rsid w:val="00427CCD"/>
    <w:rsid w:val="00443516"/>
    <w:rsid w:val="00452ABA"/>
    <w:rsid w:val="00465964"/>
    <w:rsid w:val="004721C8"/>
    <w:rsid w:val="004B1470"/>
    <w:rsid w:val="004C2B55"/>
    <w:rsid w:val="004F5D94"/>
    <w:rsid w:val="0051126D"/>
    <w:rsid w:val="005150C1"/>
    <w:rsid w:val="0052181A"/>
    <w:rsid w:val="00542A7E"/>
    <w:rsid w:val="00543359"/>
    <w:rsid w:val="00557010"/>
    <w:rsid w:val="005617BB"/>
    <w:rsid w:val="0058380C"/>
    <w:rsid w:val="005917E2"/>
    <w:rsid w:val="00594A60"/>
    <w:rsid w:val="005A5FBE"/>
    <w:rsid w:val="005B1B06"/>
    <w:rsid w:val="005D39A4"/>
    <w:rsid w:val="005E21BB"/>
    <w:rsid w:val="005E6F96"/>
    <w:rsid w:val="005F2DEE"/>
    <w:rsid w:val="00601DBC"/>
    <w:rsid w:val="0061490C"/>
    <w:rsid w:val="00627E99"/>
    <w:rsid w:val="00627EE8"/>
    <w:rsid w:val="00630835"/>
    <w:rsid w:val="0065534F"/>
    <w:rsid w:val="00673894"/>
    <w:rsid w:val="006B6355"/>
    <w:rsid w:val="006B76E3"/>
    <w:rsid w:val="006E429F"/>
    <w:rsid w:val="006F1962"/>
    <w:rsid w:val="006F2A25"/>
    <w:rsid w:val="007114CF"/>
    <w:rsid w:val="00733A57"/>
    <w:rsid w:val="00741038"/>
    <w:rsid w:val="00741AB2"/>
    <w:rsid w:val="007439A6"/>
    <w:rsid w:val="00757D9A"/>
    <w:rsid w:val="00770620"/>
    <w:rsid w:val="007861FF"/>
    <w:rsid w:val="0079277E"/>
    <w:rsid w:val="00794373"/>
    <w:rsid w:val="007B7344"/>
    <w:rsid w:val="007D0DC6"/>
    <w:rsid w:val="007D6FC9"/>
    <w:rsid w:val="00811F57"/>
    <w:rsid w:val="00817712"/>
    <w:rsid w:val="00843C29"/>
    <w:rsid w:val="00846B92"/>
    <w:rsid w:val="00847BA0"/>
    <w:rsid w:val="00850C50"/>
    <w:rsid w:val="0085244D"/>
    <w:rsid w:val="00874318"/>
    <w:rsid w:val="008856E7"/>
    <w:rsid w:val="00886053"/>
    <w:rsid w:val="00886949"/>
    <w:rsid w:val="008C5517"/>
    <w:rsid w:val="00910279"/>
    <w:rsid w:val="009344F6"/>
    <w:rsid w:val="009B7D77"/>
    <w:rsid w:val="009C0695"/>
    <w:rsid w:val="009C720E"/>
    <w:rsid w:val="009F35E3"/>
    <w:rsid w:val="00A154BB"/>
    <w:rsid w:val="00A3295E"/>
    <w:rsid w:val="00A3679E"/>
    <w:rsid w:val="00A436EB"/>
    <w:rsid w:val="00A52424"/>
    <w:rsid w:val="00A75EAF"/>
    <w:rsid w:val="00A87072"/>
    <w:rsid w:val="00AB4DB3"/>
    <w:rsid w:val="00AD1C9C"/>
    <w:rsid w:val="00AD7B82"/>
    <w:rsid w:val="00AE7323"/>
    <w:rsid w:val="00AF0A16"/>
    <w:rsid w:val="00B133A7"/>
    <w:rsid w:val="00B2788E"/>
    <w:rsid w:val="00B33F69"/>
    <w:rsid w:val="00B37227"/>
    <w:rsid w:val="00B37829"/>
    <w:rsid w:val="00BA1356"/>
    <w:rsid w:val="00BA4D9B"/>
    <w:rsid w:val="00BA6C22"/>
    <w:rsid w:val="00BB7CB8"/>
    <w:rsid w:val="00BE106C"/>
    <w:rsid w:val="00BF47A3"/>
    <w:rsid w:val="00BF5372"/>
    <w:rsid w:val="00C12A80"/>
    <w:rsid w:val="00C17316"/>
    <w:rsid w:val="00C34A4D"/>
    <w:rsid w:val="00C40E1C"/>
    <w:rsid w:val="00C651D2"/>
    <w:rsid w:val="00C74703"/>
    <w:rsid w:val="00C85C38"/>
    <w:rsid w:val="00C8706F"/>
    <w:rsid w:val="00C9703C"/>
    <w:rsid w:val="00C97D05"/>
    <w:rsid w:val="00CA1583"/>
    <w:rsid w:val="00CA66CE"/>
    <w:rsid w:val="00CB4205"/>
    <w:rsid w:val="00CB753E"/>
    <w:rsid w:val="00CD2490"/>
    <w:rsid w:val="00CD5CA9"/>
    <w:rsid w:val="00CE70F8"/>
    <w:rsid w:val="00D00B5E"/>
    <w:rsid w:val="00D33002"/>
    <w:rsid w:val="00D35D1E"/>
    <w:rsid w:val="00D40B66"/>
    <w:rsid w:val="00D45415"/>
    <w:rsid w:val="00D653E3"/>
    <w:rsid w:val="00D67198"/>
    <w:rsid w:val="00D70A1A"/>
    <w:rsid w:val="00D7436B"/>
    <w:rsid w:val="00D97A9C"/>
    <w:rsid w:val="00DA163B"/>
    <w:rsid w:val="00DA600B"/>
    <w:rsid w:val="00DB3B59"/>
    <w:rsid w:val="00DB5E2D"/>
    <w:rsid w:val="00DC623B"/>
    <w:rsid w:val="00DC6CAE"/>
    <w:rsid w:val="00DD756A"/>
    <w:rsid w:val="00DE41FD"/>
    <w:rsid w:val="00DF56AB"/>
    <w:rsid w:val="00E00A4C"/>
    <w:rsid w:val="00E05B52"/>
    <w:rsid w:val="00E0643A"/>
    <w:rsid w:val="00E068D0"/>
    <w:rsid w:val="00E12D69"/>
    <w:rsid w:val="00E2192B"/>
    <w:rsid w:val="00E37E51"/>
    <w:rsid w:val="00E400DA"/>
    <w:rsid w:val="00E4144F"/>
    <w:rsid w:val="00E47EB1"/>
    <w:rsid w:val="00E72806"/>
    <w:rsid w:val="00E83CD1"/>
    <w:rsid w:val="00E85E61"/>
    <w:rsid w:val="00E8614A"/>
    <w:rsid w:val="00E865D7"/>
    <w:rsid w:val="00EA617B"/>
    <w:rsid w:val="00EA7E6F"/>
    <w:rsid w:val="00EB01CE"/>
    <w:rsid w:val="00EC0098"/>
    <w:rsid w:val="00EC6577"/>
    <w:rsid w:val="00F06AB0"/>
    <w:rsid w:val="00F128BB"/>
    <w:rsid w:val="00F13806"/>
    <w:rsid w:val="00F37514"/>
    <w:rsid w:val="00F65570"/>
    <w:rsid w:val="00F67E65"/>
    <w:rsid w:val="00F71B9C"/>
    <w:rsid w:val="00F91D5C"/>
    <w:rsid w:val="00FA09FC"/>
    <w:rsid w:val="00FC5CCD"/>
    <w:rsid w:val="00FD3A8C"/>
    <w:rsid w:val="08044259"/>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A56A161"/>
  <w15:docId w15:val="{1A73CFC5-08CC-48D2-8C00-73E11F694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Jamia2014" w:eastAsia="Jamia2014" w:hAnsi="Jamia2014" w:cs="Jamia2014"/>
      <w:sz w:val="24"/>
      <w:szCs w:val="24"/>
      <w:lang w:val="en-US" w:eastAsia="en-US"/>
    </w:rPr>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ommentText">
    <w:name w:val="annotation text"/>
    <w:basedOn w:val="Normal"/>
    <w:uiPriority w:val="99"/>
    <w:semiHidden/>
    <w:unhideWhenUsed/>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unhideWhenUsed/>
    <w:pPr>
      <w:tabs>
        <w:tab w:val="center" w:pos="4320"/>
        <w:tab w:val="right" w:pos="8640"/>
      </w:tabs>
      <w:spacing w:after="0" w:line="240" w:lineRule="auto"/>
    </w:p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Header">
    <w:name w:val="header"/>
    <w:basedOn w:val="Normal"/>
    <w:link w:val="HeaderChar"/>
    <w:uiPriority w:val="99"/>
    <w:unhideWhenUsed/>
    <w:pPr>
      <w:tabs>
        <w:tab w:val="center" w:pos="4320"/>
        <w:tab w:val="right" w:pos="8640"/>
      </w:tabs>
      <w:spacing w:after="0" w:line="240" w:lineRule="auto"/>
    </w:pPr>
  </w:style>
  <w:style w:type="character" w:styleId="HTMLCode">
    <w:name w:val="HTML Code"/>
    <w:basedOn w:val="DefaultParagraphFont"/>
    <w:uiPriority w:val="99"/>
    <w:semiHidden/>
    <w:unhideWhenUsed/>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zh-CN" w:eastAsia="zh-CN"/>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lang w:val="id-ID" w:eastAsia="id-ID"/>
    </w:rPr>
  </w:style>
  <w:style w:type="character" w:styleId="Strong">
    <w:name w:val="Strong"/>
    <w:basedOn w:val="DefaultParagraphFont"/>
    <w:uiPriority w:val="22"/>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ListParagraph">
    <w:name w:val="List Paragraph"/>
    <w:basedOn w:val="Normal"/>
    <w:uiPriority w:val="34"/>
    <w:pPr>
      <w:ind w:left="720"/>
      <w:contextualSpacing/>
    </w:pPr>
  </w:style>
  <w:style w:type="character" w:customStyle="1" w:styleId="FootnoteTextChar">
    <w:name w:val="Footnote Text Char"/>
    <w:basedOn w:val="DefaultParagraphFont"/>
    <w:link w:val="FootnoteText"/>
    <w:uiPriority w:val="99"/>
    <w:semiHidden/>
    <w:rPr>
      <w:sz w:val="20"/>
      <w:szCs w:val="20"/>
    </w:rPr>
  </w:style>
  <w:style w:type="paragraph" w:customStyle="1" w:styleId="Bibliography1">
    <w:name w:val="Bibliography1"/>
    <w:basedOn w:val="Normal"/>
    <w:next w:val="Normal"/>
    <w:link w:val="BibliographyChar"/>
    <w:uiPriority w:val="37"/>
    <w:unhideWhenUsed/>
    <w:pPr>
      <w:spacing w:line="240" w:lineRule="auto"/>
      <w:ind w:left="720" w:hanging="720"/>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00ArticleTitle">
    <w:name w:val="00 Article Title"/>
    <w:basedOn w:val="Normal"/>
    <w:link w:val="00ArticleTitleChar"/>
    <w:qFormat/>
    <w:pPr>
      <w:spacing w:after="0" w:line="360" w:lineRule="auto"/>
    </w:pPr>
    <w:rPr>
      <w:b/>
      <w:bCs/>
      <w:sz w:val="28"/>
      <w:szCs w:val="28"/>
    </w:rPr>
  </w:style>
  <w:style w:type="character" w:customStyle="1" w:styleId="00ArticleTitleChar">
    <w:name w:val="00 Article Title Char"/>
    <w:basedOn w:val="DefaultParagraphFont"/>
    <w:link w:val="00ArticleTitle"/>
    <w:rPr>
      <w:b/>
      <w:bCs/>
      <w:sz w:val="28"/>
      <w:szCs w:val="28"/>
    </w:rPr>
  </w:style>
  <w:style w:type="paragraph" w:customStyle="1" w:styleId="00ArticleTitle2">
    <w:name w:val="00 Article Title 2"/>
    <w:basedOn w:val="Normal"/>
    <w:link w:val="00ArticleTitle2Char"/>
    <w:qFormat/>
    <w:pPr>
      <w:spacing w:after="0" w:line="360" w:lineRule="auto"/>
    </w:pPr>
    <w:rPr>
      <w:b/>
      <w:bCs/>
      <w:sz w:val="28"/>
      <w:szCs w:val="28"/>
    </w:rPr>
  </w:style>
  <w:style w:type="character" w:customStyle="1" w:styleId="00ArticleTitle2Char">
    <w:name w:val="00 Article Title 2 Char"/>
    <w:basedOn w:val="DefaultParagraphFont"/>
    <w:link w:val="00ArticleTitle2"/>
    <w:rPr>
      <w:b/>
      <w:bCs/>
      <w:sz w:val="28"/>
      <w:szCs w:val="28"/>
    </w:rPr>
  </w:style>
  <w:style w:type="paragraph" w:customStyle="1" w:styleId="01Authorsname">
    <w:name w:val="01 Author's name"/>
    <w:basedOn w:val="Normal"/>
    <w:link w:val="01AuthorsnameChar"/>
    <w:qFormat/>
    <w:pPr>
      <w:spacing w:after="0" w:line="360" w:lineRule="auto"/>
      <w:jc w:val="both"/>
    </w:pPr>
    <w:rPr>
      <w:color w:val="FF0000"/>
    </w:rPr>
  </w:style>
  <w:style w:type="character" w:customStyle="1" w:styleId="01AuthorsnameChar">
    <w:name w:val="01 Author's name Char"/>
    <w:basedOn w:val="DefaultParagraphFont"/>
    <w:link w:val="01Authorsname"/>
    <w:qFormat/>
    <w:rPr>
      <w:color w:val="FF0000"/>
    </w:rPr>
  </w:style>
  <w:style w:type="paragraph" w:customStyle="1" w:styleId="03Abstract-Title">
    <w:name w:val="03 Abstract-Title"/>
    <w:basedOn w:val="Normal"/>
    <w:link w:val="03Abstract-TitleChar"/>
    <w:qFormat/>
    <w:pPr>
      <w:spacing w:before="240" w:after="0" w:line="360" w:lineRule="auto"/>
    </w:pPr>
    <w:rPr>
      <w:b/>
    </w:rPr>
  </w:style>
  <w:style w:type="character" w:customStyle="1" w:styleId="03Abstract-TitleChar">
    <w:name w:val="03 Abstract-Title Char"/>
    <w:basedOn w:val="DefaultParagraphFont"/>
    <w:link w:val="03Abstract-Title"/>
    <w:rPr>
      <w:b/>
    </w:rPr>
  </w:style>
  <w:style w:type="paragraph" w:customStyle="1" w:styleId="04abstracttext">
    <w:name w:val="04 abstract text"/>
    <w:basedOn w:val="Normal"/>
    <w:link w:val="04abstracttextChar"/>
    <w:autoRedefine/>
    <w:qFormat/>
    <w:pPr>
      <w:spacing w:after="0" w:line="240" w:lineRule="auto"/>
      <w:ind w:left="720"/>
      <w:jc w:val="both"/>
    </w:pPr>
    <w:rPr>
      <w:i/>
      <w:iCs/>
    </w:rPr>
  </w:style>
  <w:style w:type="character" w:customStyle="1" w:styleId="04abstracttextChar">
    <w:name w:val="04 abstract text Char"/>
    <w:basedOn w:val="DefaultParagraphFont"/>
    <w:link w:val="04abstracttext"/>
    <w:rPr>
      <w:i/>
      <w:iCs/>
    </w:rPr>
  </w:style>
  <w:style w:type="paragraph" w:customStyle="1" w:styleId="05keywords">
    <w:name w:val="05 keywords"/>
    <w:basedOn w:val="Normal"/>
    <w:link w:val="05keywordsChar"/>
    <w:qFormat/>
    <w:pPr>
      <w:spacing w:before="240" w:after="0" w:line="240" w:lineRule="auto"/>
      <w:ind w:left="284" w:hanging="284"/>
      <w:jc w:val="both"/>
    </w:pPr>
    <w:rPr>
      <w:b/>
    </w:rPr>
  </w:style>
  <w:style w:type="character" w:customStyle="1" w:styleId="05keywordsChar">
    <w:name w:val="05 keywords Char"/>
    <w:basedOn w:val="DefaultParagraphFont"/>
    <w:link w:val="05keywords"/>
    <w:qFormat/>
    <w:rPr>
      <w:b/>
    </w:rPr>
  </w:style>
  <w:style w:type="paragraph" w:customStyle="1" w:styleId="06Heading1">
    <w:name w:val="06 Heading 1"/>
    <w:basedOn w:val="Normal"/>
    <w:link w:val="06Heading1Char"/>
    <w:autoRedefine/>
    <w:qFormat/>
    <w:pPr>
      <w:spacing w:before="240" w:after="120" w:line="360" w:lineRule="auto"/>
      <w:ind w:left="284" w:hanging="284"/>
      <w:jc w:val="both"/>
    </w:pPr>
    <w:rPr>
      <w:b/>
    </w:rPr>
  </w:style>
  <w:style w:type="character" w:customStyle="1" w:styleId="06Heading1Char">
    <w:name w:val="06 Heading 1 Char"/>
    <w:basedOn w:val="DefaultParagraphFont"/>
    <w:link w:val="06Heading1"/>
    <w:rPr>
      <w:b/>
    </w:rPr>
  </w:style>
  <w:style w:type="paragraph" w:customStyle="1" w:styleId="07bodytext">
    <w:name w:val="07 body text"/>
    <w:basedOn w:val="Normal"/>
    <w:link w:val="07bodytextChar"/>
    <w:qFormat/>
    <w:pPr>
      <w:spacing w:after="0" w:line="360" w:lineRule="auto"/>
      <w:ind w:firstLine="720"/>
      <w:jc w:val="both"/>
    </w:pPr>
  </w:style>
  <w:style w:type="character" w:customStyle="1" w:styleId="07bodytextChar">
    <w:name w:val="07 body text Char"/>
    <w:basedOn w:val="DefaultParagraphFont"/>
    <w:link w:val="07bodytext"/>
    <w:qFormat/>
  </w:style>
  <w:style w:type="paragraph" w:customStyle="1" w:styleId="06Heading2">
    <w:name w:val="06 Heading 2"/>
    <w:basedOn w:val="Normal"/>
    <w:link w:val="06Heading2Char"/>
    <w:autoRedefine/>
    <w:qFormat/>
    <w:pPr>
      <w:spacing w:before="240" w:after="120" w:line="360" w:lineRule="auto"/>
      <w:jc w:val="both"/>
    </w:pPr>
    <w:rPr>
      <w:b/>
      <w:bCs/>
      <w:i/>
      <w:iCs/>
    </w:rPr>
  </w:style>
  <w:style w:type="character" w:customStyle="1" w:styleId="06Heading2Char">
    <w:name w:val="06 Heading 2 Char"/>
    <w:basedOn w:val="DefaultParagraphFont"/>
    <w:link w:val="06Heading2"/>
    <w:qFormat/>
    <w:rPr>
      <w:b/>
      <w:bCs/>
      <w:i/>
      <w:iCs/>
    </w:rPr>
  </w:style>
  <w:style w:type="paragraph" w:customStyle="1" w:styleId="10footnotetext">
    <w:name w:val="10 footnote text"/>
    <w:basedOn w:val="FootnoteText"/>
    <w:link w:val="10footnotetextChar"/>
    <w:qFormat/>
    <w:pPr>
      <w:ind w:firstLine="709"/>
      <w:jc w:val="both"/>
    </w:pPr>
    <w:rPr>
      <w:rFonts w:cs="Times New Roman"/>
      <w:szCs w:val="24"/>
    </w:rPr>
  </w:style>
  <w:style w:type="character" w:customStyle="1" w:styleId="10footnotetextChar">
    <w:name w:val="10 footnote text Char"/>
    <w:basedOn w:val="FootnoteTextChar"/>
    <w:link w:val="10footnotetext"/>
    <w:qFormat/>
    <w:rPr>
      <w:rFonts w:cs="Times New Roman"/>
      <w:sz w:val="20"/>
      <w:szCs w:val="20"/>
    </w:rPr>
  </w:style>
  <w:style w:type="paragraph" w:customStyle="1" w:styleId="09bibliography">
    <w:name w:val="09 bibliography"/>
    <w:basedOn w:val="Bibliography1"/>
    <w:link w:val="09bibliographyChar"/>
    <w:qFormat/>
    <w:pPr>
      <w:spacing w:before="120" w:after="0"/>
      <w:jc w:val="both"/>
    </w:pPr>
  </w:style>
  <w:style w:type="character" w:customStyle="1" w:styleId="BibliographyChar">
    <w:name w:val="Bibliography Char"/>
    <w:basedOn w:val="DefaultParagraphFont"/>
    <w:link w:val="Bibliography1"/>
    <w:uiPriority w:val="37"/>
  </w:style>
  <w:style w:type="character" w:customStyle="1" w:styleId="09bibliographyChar">
    <w:name w:val="09 bibliography Char"/>
    <w:basedOn w:val="BibliographyChar"/>
    <w:link w:val="09bibliography"/>
    <w:qFormat/>
  </w:style>
  <w:style w:type="paragraph" w:customStyle="1" w:styleId="09Quote">
    <w:name w:val="09 Quote"/>
    <w:basedOn w:val="07bodytext"/>
    <w:link w:val="09QuoteChar"/>
    <w:qFormat/>
    <w:pPr>
      <w:spacing w:after="120" w:line="240" w:lineRule="auto"/>
      <w:ind w:left="680" w:firstLine="0"/>
    </w:pPr>
  </w:style>
  <w:style w:type="character" w:customStyle="1" w:styleId="09QuoteChar">
    <w:name w:val="09 Quote Char"/>
    <w:basedOn w:val="07bodytextChar"/>
    <w:link w:val="09Quote"/>
    <w:qFormat/>
  </w:style>
  <w:style w:type="character" w:customStyle="1" w:styleId="EndnoteTextChar">
    <w:name w:val="Endnote Text Char"/>
    <w:basedOn w:val="DefaultParagraphFont"/>
    <w:link w:val="EndnoteText"/>
    <w:uiPriority w:val="99"/>
    <w:semiHidden/>
    <w:rPr>
      <w:sz w:val="20"/>
      <w:szCs w:val="20"/>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Spacing">
    <w:name w:val="No Spacing"/>
    <w:link w:val="NoSpacingChar"/>
    <w:uiPriority w:val="1"/>
    <w:qFormat/>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qFormat/>
    <w:rPr>
      <w:rFonts w:asciiTheme="minorHAnsi" w:eastAsiaTheme="minorEastAsia" w:hAnsiTheme="minorHAnsi" w:cstheme="minorBidi"/>
      <w:sz w:val="22"/>
      <w:szCs w:val="22"/>
      <w:lang w:eastAsia="ja-JP"/>
    </w:rPr>
  </w:style>
  <w:style w:type="table" w:customStyle="1" w:styleId="Style55">
    <w:name w:val="_Style 55"/>
    <w:basedOn w:val="TableNormal"/>
    <w:qFormat/>
    <w:tblPr/>
  </w:style>
  <w:style w:type="table" w:customStyle="1" w:styleId="Style56">
    <w:name w:val="_Style 56"/>
    <w:basedOn w:val="TableNormal"/>
    <w:tblPr>
      <w:tblCellMar>
        <w:left w:w="115" w:type="dxa"/>
        <w:right w:w="115" w:type="dxa"/>
      </w:tblCellMar>
    </w:tblPr>
  </w:style>
  <w:style w:type="table" w:customStyle="1" w:styleId="Style57">
    <w:name w:val="_Style 57"/>
    <w:basedOn w:val="TableNormal"/>
    <w:qFormat/>
    <w:tbl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PlainTable31">
    <w:name w:val="Plain Table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Pr>
      <w:b/>
      <w:sz w:val="48"/>
      <w:szCs w:val="48"/>
    </w:rPr>
  </w:style>
  <w:style w:type="character" w:customStyle="1" w:styleId="Heading2Char">
    <w:name w:val="Heading 2 Char"/>
    <w:basedOn w:val="DefaultParagraphFont"/>
    <w:link w:val="Heading2"/>
    <w:uiPriority w:val="9"/>
    <w:rPr>
      <w:b/>
      <w:sz w:val="36"/>
      <w:szCs w:val="36"/>
    </w:rPr>
  </w:style>
  <w:style w:type="character" w:customStyle="1" w:styleId="Heading3Char">
    <w:name w:val="Heading 3 Char"/>
    <w:basedOn w:val="DefaultParagraphFont"/>
    <w:link w:val="Heading3"/>
    <w:uiPriority w:val="9"/>
    <w:rPr>
      <w:b/>
      <w:sz w:val="28"/>
      <w:szCs w:val="28"/>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lang w:val="zh-CN" w:eastAsia="zh-CN"/>
    </w:rPr>
  </w:style>
  <w:style w:type="paragraph" w:customStyle="1" w:styleId="font-claude-response-body">
    <w:name w:val="font-claude-response-body"/>
    <w:basedOn w:val="Normal"/>
    <w:pPr>
      <w:spacing w:before="100" w:beforeAutospacing="1" w:after="100" w:afterAutospacing="1" w:line="240" w:lineRule="auto"/>
    </w:pPr>
    <w:rPr>
      <w:rFonts w:ascii="Times New Roman" w:eastAsia="Times New Roman" w:hAnsi="Times New Roman" w:cs="Times New Roman"/>
      <w:lang w:val="zh-CN" w:eastAsia="zh-CN"/>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zh-CN" w:eastAsia="zh-CN"/>
    </w:rPr>
  </w:style>
  <w:style w:type="character" w:customStyle="1" w:styleId="hovertext-text-300">
    <w:name w:val="hover:text-text-300"/>
    <w:basedOn w:val="DefaultParagraphFont"/>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unhideWhenUsed/>
    <w:rsid w:val="008C5517"/>
    <w:rPr>
      <w:color w:val="666666"/>
    </w:rPr>
  </w:style>
  <w:style w:type="character" w:styleId="UnresolvedMention">
    <w:name w:val="Unresolved Mention"/>
    <w:basedOn w:val="DefaultParagraphFont"/>
    <w:uiPriority w:val="99"/>
    <w:semiHidden/>
    <w:unhideWhenUsed/>
    <w:rsid w:val="008C55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98343">
      <w:marLeft w:val="480"/>
      <w:marRight w:val="0"/>
      <w:marTop w:val="0"/>
      <w:marBottom w:val="0"/>
      <w:divBdr>
        <w:top w:val="none" w:sz="0" w:space="0" w:color="auto"/>
        <w:left w:val="none" w:sz="0" w:space="0" w:color="auto"/>
        <w:bottom w:val="none" w:sz="0" w:space="0" w:color="auto"/>
        <w:right w:val="none" w:sz="0" w:space="0" w:color="auto"/>
      </w:divBdr>
    </w:div>
    <w:div w:id="202059773">
      <w:marLeft w:val="480"/>
      <w:marRight w:val="0"/>
      <w:marTop w:val="0"/>
      <w:marBottom w:val="0"/>
      <w:divBdr>
        <w:top w:val="none" w:sz="0" w:space="0" w:color="auto"/>
        <w:left w:val="none" w:sz="0" w:space="0" w:color="auto"/>
        <w:bottom w:val="none" w:sz="0" w:space="0" w:color="auto"/>
        <w:right w:val="none" w:sz="0" w:space="0" w:color="auto"/>
      </w:divBdr>
    </w:div>
    <w:div w:id="464734158">
      <w:marLeft w:val="480"/>
      <w:marRight w:val="0"/>
      <w:marTop w:val="0"/>
      <w:marBottom w:val="0"/>
      <w:divBdr>
        <w:top w:val="none" w:sz="0" w:space="0" w:color="auto"/>
        <w:left w:val="none" w:sz="0" w:space="0" w:color="auto"/>
        <w:bottom w:val="none" w:sz="0" w:space="0" w:color="auto"/>
        <w:right w:val="none" w:sz="0" w:space="0" w:color="auto"/>
      </w:divBdr>
    </w:div>
    <w:div w:id="468668692">
      <w:marLeft w:val="480"/>
      <w:marRight w:val="0"/>
      <w:marTop w:val="0"/>
      <w:marBottom w:val="0"/>
      <w:divBdr>
        <w:top w:val="none" w:sz="0" w:space="0" w:color="auto"/>
        <w:left w:val="none" w:sz="0" w:space="0" w:color="auto"/>
        <w:bottom w:val="none" w:sz="0" w:space="0" w:color="auto"/>
        <w:right w:val="none" w:sz="0" w:space="0" w:color="auto"/>
      </w:divBdr>
    </w:div>
    <w:div w:id="567149769">
      <w:marLeft w:val="480"/>
      <w:marRight w:val="0"/>
      <w:marTop w:val="0"/>
      <w:marBottom w:val="0"/>
      <w:divBdr>
        <w:top w:val="none" w:sz="0" w:space="0" w:color="auto"/>
        <w:left w:val="none" w:sz="0" w:space="0" w:color="auto"/>
        <w:bottom w:val="none" w:sz="0" w:space="0" w:color="auto"/>
        <w:right w:val="none" w:sz="0" w:space="0" w:color="auto"/>
      </w:divBdr>
    </w:div>
    <w:div w:id="729810340">
      <w:marLeft w:val="480"/>
      <w:marRight w:val="0"/>
      <w:marTop w:val="0"/>
      <w:marBottom w:val="0"/>
      <w:divBdr>
        <w:top w:val="none" w:sz="0" w:space="0" w:color="auto"/>
        <w:left w:val="none" w:sz="0" w:space="0" w:color="auto"/>
        <w:bottom w:val="none" w:sz="0" w:space="0" w:color="auto"/>
        <w:right w:val="none" w:sz="0" w:space="0" w:color="auto"/>
      </w:divBdr>
    </w:div>
    <w:div w:id="741948020">
      <w:marLeft w:val="480"/>
      <w:marRight w:val="0"/>
      <w:marTop w:val="0"/>
      <w:marBottom w:val="0"/>
      <w:divBdr>
        <w:top w:val="none" w:sz="0" w:space="0" w:color="auto"/>
        <w:left w:val="none" w:sz="0" w:space="0" w:color="auto"/>
        <w:bottom w:val="none" w:sz="0" w:space="0" w:color="auto"/>
        <w:right w:val="none" w:sz="0" w:space="0" w:color="auto"/>
      </w:divBdr>
    </w:div>
    <w:div w:id="798571254">
      <w:marLeft w:val="480"/>
      <w:marRight w:val="0"/>
      <w:marTop w:val="0"/>
      <w:marBottom w:val="0"/>
      <w:divBdr>
        <w:top w:val="none" w:sz="0" w:space="0" w:color="auto"/>
        <w:left w:val="none" w:sz="0" w:space="0" w:color="auto"/>
        <w:bottom w:val="none" w:sz="0" w:space="0" w:color="auto"/>
        <w:right w:val="none" w:sz="0" w:space="0" w:color="auto"/>
      </w:divBdr>
    </w:div>
    <w:div w:id="854030740">
      <w:marLeft w:val="480"/>
      <w:marRight w:val="0"/>
      <w:marTop w:val="0"/>
      <w:marBottom w:val="0"/>
      <w:divBdr>
        <w:top w:val="none" w:sz="0" w:space="0" w:color="auto"/>
        <w:left w:val="none" w:sz="0" w:space="0" w:color="auto"/>
        <w:bottom w:val="none" w:sz="0" w:space="0" w:color="auto"/>
        <w:right w:val="none" w:sz="0" w:space="0" w:color="auto"/>
      </w:divBdr>
    </w:div>
    <w:div w:id="974868277">
      <w:marLeft w:val="480"/>
      <w:marRight w:val="0"/>
      <w:marTop w:val="0"/>
      <w:marBottom w:val="0"/>
      <w:divBdr>
        <w:top w:val="none" w:sz="0" w:space="0" w:color="auto"/>
        <w:left w:val="none" w:sz="0" w:space="0" w:color="auto"/>
        <w:bottom w:val="none" w:sz="0" w:space="0" w:color="auto"/>
        <w:right w:val="none" w:sz="0" w:space="0" w:color="auto"/>
      </w:divBdr>
    </w:div>
    <w:div w:id="1078137245">
      <w:marLeft w:val="480"/>
      <w:marRight w:val="0"/>
      <w:marTop w:val="0"/>
      <w:marBottom w:val="0"/>
      <w:divBdr>
        <w:top w:val="none" w:sz="0" w:space="0" w:color="auto"/>
        <w:left w:val="none" w:sz="0" w:space="0" w:color="auto"/>
        <w:bottom w:val="none" w:sz="0" w:space="0" w:color="auto"/>
        <w:right w:val="none" w:sz="0" w:space="0" w:color="auto"/>
      </w:divBdr>
    </w:div>
    <w:div w:id="1102647501">
      <w:marLeft w:val="480"/>
      <w:marRight w:val="0"/>
      <w:marTop w:val="0"/>
      <w:marBottom w:val="0"/>
      <w:divBdr>
        <w:top w:val="none" w:sz="0" w:space="0" w:color="auto"/>
        <w:left w:val="none" w:sz="0" w:space="0" w:color="auto"/>
        <w:bottom w:val="none" w:sz="0" w:space="0" w:color="auto"/>
        <w:right w:val="none" w:sz="0" w:space="0" w:color="auto"/>
      </w:divBdr>
    </w:div>
    <w:div w:id="1284000838">
      <w:marLeft w:val="480"/>
      <w:marRight w:val="0"/>
      <w:marTop w:val="0"/>
      <w:marBottom w:val="0"/>
      <w:divBdr>
        <w:top w:val="none" w:sz="0" w:space="0" w:color="auto"/>
        <w:left w:val="none" w:sz="0" w:space="0" w:color="auto"/>
        <w:bottom w:val="none" w:sz="0" w:space="0" w:color="auto"/>
        <w:right w:val="none" w:sz="0" w:space="0" w:color="auto"/>
      </w:divBdr>
    </w:div>
    <w:div w:id="1335113465">
      <w:marLeft w:val="480"/>
      <w:marRight w:val="0"/>
      <w:marTop w:val="0"/>
      <w:marBottom w:val="0"/>
      <w:divBdr>
        <w:top w:val="none" w:sz="0" w:space="0" w:color="auto"/>
        <w:left w:val="none" w:sz="0" w:space="0" w:color="auto"/>
        <w:bottom w:val="none" w:sz="0" w:space="0" w:color="auto"/>
        <w:right w:val="none" w:sz="0" w:space="0" w:color="auto"/>
      </w:divBdr>
    </w:div>
    <w:div w:id="1554349109">
      <w:marLeft w:val="480"/>
      <w:marRight w:val="0"/>
      <w:marTop w:val="0"/>
      <w:marBottom w:val="0"/>
      <w:divBdr>
        <w:top w:val="none" w:sz="0" w:space="0" w:color="auto"/>
        <w:left w:val="none" w:sz="0" w:space="0" w:color="auto"/>
        <w:bottom w:val="none" w:sz="0" w:space="0" w:color="auto"/>
        <w:right w:val="none" w:sz="0" w:space="0" w:color="auto"/>
      </w:divBdr>
    </w:div>
    <w:div w:id="1555702342">
      <w:marLeft w:val="480"/>
      <w:marRight w:val="0"/>
      <w:marTop w:val="0"/>
      <w:marBottom w:val="0"/>
      <w:divBdr>
        <w:top w:val="none" w:sz="0" w:space="0" w:color="auto"/>
        <w:left w:val="none" w:sz="0" w:space="0" w:color="auto"/>
        <w:bottom w:val="none" w:sz="0" w:space="0" w:color="auto"/>
        <w:right w:val="none" w:sz="0" w:space="0" w:color="auto"/>
      </w:divBdr>
    </w:div>
    <w:div w:id="1629893814">
      <w:marLeft w:val="480"/>
      <w:marRight w:val="0"/>
      <w:marTop w:val="0"/>
      <w:marBottom w:val="0"/>
      <w:divBdr>
        <w:top w:val="none" w:sz="0" w:space="0" w:color="auto"/>
        <w:left w:val="none" w:sz="0" w:space="0" w:color="auto"/>
        <w:bottom w:val="none" w:sz="0" w:space="0" w:color="auto"/>
        <w:right w:val="none" w:sz="0" w:space="0" w:color="auto"/>
      </w:divBdr>
    </w:div>
    <w:div w:id="1742406251">
      <w:marLeft w:val="480"/>
      <w:marRight w:val="0"/>
      <w:marTop w:val="0"/>
      <w:marBottom w:val="0"/>
      <w:divBdr>
        <w:top w:val="none" w:sz="0" w:space="0" w:color="auto"/>
        <w:left w:val="none" w:sz="0" w:space="0" w:color="auto"/>
        <w:bottom w:val="none" w:sz="0" w:space="0" w:color="auto"/>
        <w:right w:val="none" w:sz="0" w:space="0" w:color="auto"/>
      </w:divBdr>
    </w:div>
    <w:div w:id="1891379081">
      <w:marLeft w:val="480"/>
      <w:marRight w:val="0"/>
      <w:marTop w:val="0"/>
      <w:marBottom w:val="0"/>
      <w:divBdr>
        <w:top w:val="none" w:sz="0" w:space="0" w:color="auto"/>
        <w:left w:val="none" w:sz="0" w:space="0" w:color="auto"/>
        <w:bottom w:val="none" w:sz="0" w:space="0" w:color="auto"/>
        <w:right w:val="none" w:sz="0" w:space="0" w:color="auto"/>
      </w:divBdr>
    </w:div>
    <w:div w:id="1929195300">
      <w:marLeft w:val="480"/>
      <w:marRight w:val="0"/>
      <w:marTop w:val="0"/>
      <w:marBottom w:val="0"/>
      <w:divBdr>
        <w:top w:val="none" w:sz="0" w:space="0" w:color="auto"/>
        <w:left w:val="none" w:sz="0" w:space="0" w:color="auto"/>
        <w:bottom w:val="none" w:sz="0" w:space="0" w:color="auto"/>
        <w:right w:val="none" w:sz="0" w:space="0" w:color="auto"/>
      </w:divBdr>
    </w:div>
    <w:div w:id="1938782086">
      <w:marLeft w:val="480"/>
      <w:marRight w:val="0"/>
      <w:marTop w:val="0"/>
      <w:marBottom w:val="0"/>
      <w:divBdr>
        <w:top w:val="none" w:sz="0" w:space="0" w:color="auto"/>
        <w:left w:val="none" w:sz="0" w:space="0" w:color="auto"/>
        <w:bottom w:val="none" w:sz="0" w:space="0" w:color="auto"/>
        <w:right w:val="none" w:sz="0" w:space="0" w:color="auto"/>
      </w:divBdr>
    </w:div>
    <w:div w:id="2089224329">
      <w:marLeft w:val="48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sa/4.0/"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creativecommons.org/licenses/by-sa/4.0/"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192D8594-5E90-49F4-8E1A-10F4227192B1}"/>
      </w:docPartPr>
      <w:docPartBody>
        <w:p w:rsidR="006259A3" w:rsidRDefault="000E7FF1">
          <w:r w:rsidRPr="002C1CA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Jamia2014">
    <w:altName w:val="SimSun"/>
    <w:charset w:val="86"/>
    <w:family w:val="auto"/>
    <w:pitch w:val="default"/>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FF1"/>
    <w:rsid w:val="000E7FF1"/>
    <w:rsid w:val="00195ADD"/>
    <w:rsid w:val="00307493"/>
    <w:rsid w:val="006259A3"/>
    <w:rsid w:val="00D07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0E7FF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BCAF0B1-4297-452F-BDCD-F11B48E5E45E}">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1553875335"/>
    <we:property name="MENDELEY_CITATIONS" value="[{&quot;citationID&quot;:&quot;MENDELEY_CITATION_93e7d6be-a0cd-4f93-be06-34fb039eb90b&quot;,&quot;citationItems&quot;:[{&quot;id&quot;:&quot;c90973d5-e364-5b89-ae92-cc29055afe45&quot;,&quot;itemData&quot;:{&quot;DOI&quot;:&quot;10.4324/9781003407362&quot;,&quot;ISBN&quot;:&quot;9781040257838&quot;,&quot;abstract&quot;:&quot;Critical Analysis of Parental Involvement in School presents in-depth explorations of parental involvement within culturally distinct contexts. As teachers and leaders sense the impact of today's social and political tensions in their schools, new guidance is needed to help them make decisions, solve problems, clarify interventions, and resolve conflict with their students' families as they mutually pursue the well-being of diverse students. This edited volume examines parents' culturally situated goals and values, communication and rearing styles, academic involvement, and other social-psychological factors across identities at the intersection of race, gender, class, and beyond. Each chapter addresses the complexities of a unique demographic context, innovative approaches toward inclusion, methodologies helpful to the study of parental involvement, new trends and directions in family-school partnerships, and more.&quot;,&quot;author&quot;:[{&quot;dropping-particle&quot;:&quot;&quot;,&quot;family&quot;:&quot;Williams-Johnson&quot;,&quot;given&quot;:&quot;Meca&quot;,&quot;non-dropping-particle&quot;:&quot;&quot;,&quot;parse-names&quot;:false,&quot;suffix&quot;:&quot;&quot;},{&quot;dropping-particle&quot;:&quot;&quot;,&quot;family&quot;:&quot;Rickert&quot;,&quot;given&quot;:&quot;Nicolette P.&quot;,&quot;non-dropping-particle&quot;:&quot;&quot;,&quot;parse-names&quot;:false,&quot;suffix&quot;:&quot;&quot;}],&quot;container-title&quot;:&quot;Critical Analysis of Parental Involvement in School: Working with Families Across Sociocultural Contexts&quot;,&quot;id&quot;:&quot;c90973d5-e364-5b89-ae92-cc29055afe45&quot;,&quot;issued&quot;:{&quot;date-parts&quot;:[[&quot;2024&quot;,&quot;12&quot;,&quot;30&quot;]]},&quot;number-of-pages&quot;:&quot;1-389&quot;,&quot;publisher&quot;:&quot;Taylor and Francis&quot;,&quot;title&quot;:&quot;Critical analysis of parental involvement in school: Working with families across sociocultural contexts&quot;,&quot;type&quot;:&quot;book&quot;,&quot;volume&quot;:&quot;pp&quot;},&quot;uris&quot;:[&quot;http://www.mendeley.com/documents/?uuid=bcee581e-ee12-30cb-8f0d-ad576204bfa2&quot;],&quot;isTemporary&quot;:false,&quot;legacyDesktopId&quot;:&quot;bcee581e-ee12-30cb-8f0d-ad576204bfa2&quot;}],&quot;properties&quot;:{&quot;noteIndex&quot;:0},&quot;isEdited&quot;:false,&quot;manualOverride&quot;:{&quot;citeprocText&quot;:&quot;(Williams-Johnson &amp;#38; Rickert, 2024)&quot;,&quot;isManuallyOverridden&quot;:false,&quot;manualOverrideText&quot;:&quot;&quot;},&quot;citationTag&quot;:&quot;MENDELEY_CITATION_v3_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&quot;},{&quot;citationID&quot;:&quot;MENDELEY_CITATION_46d58174-3f8d-4271-96dc-ebbc9bc4c7aa&quot;,&quot;citationItems&quot;:[{&quot;id&quot;:&quot;c90973d5-e364-5b89-ae92-cc29055afe45&quot;,&quot;itemData&quot;:{&quot;DOI&quot;:&quot;10.4324/9781003407362&quot;,&quot;ISBN&quot;:&quot;9781040257838&quot;,&quot;abstract&quot;:&quot;Critical Analysis of Parental Involvement in School presents in-depth explorations of parental involvement within culturally distinct contexts. As teachers and leaders sense the impact of today's social and political tensions in their schools, new guidance is needed to help them make decisions, solve problems, clarify interventions, and resolve conflict with their students' families as they mutually pursue the well-being of diverse students. This edited volume examines parents' culturally situated goals and values, communication and rearing styles, academic involvement, and other social-psychological factors across identities at the intersection of race, gender, class, and beyond. Each chapter addresses the complexities of a unique demographic context, innovative approaches toward inclusion, methodologies helpful to the study of parental involvement, new trends and directions in family-school partnerships, and more.&quot;,&quot;author&quot;:[{&quot;dropping-particle&quot;:&quot;&quot;,&quot;family&quot;:&quot;Williams-Johnson&quot;,&quot;given&quot;:&quot;Meca&quot;,&quot;non-dropping-particle&quot;:&quot;&quot;,&quot;parse-names&quot;:false,&quot;suffix&quot;:&quot;&quot;},{&quot;dropping-particle&quot;:&quot;&quot;,&quot;family&quot;:&quot;Rickert&quot;,&quot;given&quot;:&quot;Nicolette P.&quot;,&quot;non-dropping-particle&quot;:&quot;&quot;,&quot;parse-names&quot;:false,&quot;suffix&quot;:&quot;&quot;}],&quot;container-title&quot;:&quot;Critical Analysis of Parental Involvement in School: Working with Families Across Sociocultural Contexts&quot;,&quot;id&quot;:&quot;c90973d5-e364-5b89-ae92-cc29055afe45&quot;,&quot;issued&quot;:{&quot;date-parts&quot;:[[&quot;2024&quot;,&quot;12&quot;,&quot;30&quot;]]},&quot;number-of-pages&quot;:&quot;1-389&quot;,&quot;publisher&quot;:&quot;Taylor and Francis&quot;,&quot;title&quot;:&quot;Critical analysis of parental involvement in school: Working with families across sociocultural contexts&quot;,&quot;type&quot;:&quot;book&quot;,&quot;volume&quot;:&quot;pp&quot;},&quot;uris&quot;:[&quot;http://www.mendeley.com/documents/?uuid=bcee581e-ee12-30cb-8f0d-ad576204bfa2&quot;],&quot;isTemporary&quot;:false,&quot;legacyDesktopId&quot;:&quot;bcee581e-ee12-30cb-8f0d-ad576204bfa2&quot;},{&quot;id&quot;:&quot;b6445eda-1c4d-5153-87b5-366026bd834e&quot;,&quot;itemData&quot;:{&quot;DOI&quot;:&quot;10.1136/bmjoq-2024-002878&quot;,&quot;ISSN&quot;:&quot;23996641&quot;,&quot;PMID&quot;:&quot;39797669&quot;,&quot;abstract&quot;:&quot;Background Driven by rising retirement age and increasing prevalence of chronic diseases impacting work participation, there is an increasing need for quality and efficiency improvement in social insurance medicine (SIM). SIM provides guidance to individuals facing long-term work disability, assess their functional abilities and eligibility for long-term disability benefits. Value-based healthcare (VBHC) targets quality and efficiency improvements in healthcare by placing a priority on improving patient value. So far, VBHC has been introduced with fundamental principles and essential components for its adoption in curative care. Hence, there is room for debate on what are key enablers for the adoption of value-based SIM. Purpose The study aims to explore key enablers for the adoption of VBHC in the practice of SIM. Methods In this exploratory qualitative study, participants consisted of 15 professionals with expertise either in SIM (n=10) or with expertise in the adoption of VBHC in the curative care sector (n=5). Each participant took part in both a semistructured individual interview and a focus group interview. Thematic coding was employed to analyse the data. Results Seven key enablers were identified: (1) investigate the meaning and implementation constraints of value in SIM, (2) integrate SIM into work-focused care networks, (3) explore the need and feasibility for specialisation based on functional problems, (4) identify the most important work outcomes for the patient, (5) identify proxy indicators for cost drivers, (6) identify value-driven financial incentives and (7) develop an information technology system to exchange data. Conclusions This paper provides understanding of what is needed to adopt value-based SIM. Future research should delve deeper into these seven key enablers to facilitate the adoption of VBHC, and thereby promote value creation in the practice of SIM.&quot;,&quot;author&quot;:[{&quot;dropping-particle&quot;:&quot;&quot;,&quot;family&quot;:&quot;Hagendijk&quot;,&quot;given&quot;:&quot;Marije E.&quot;,&quot;non-dropping-particle&quot;:&quot;&quot;,&quot;parse-names&quot;:false,&quot;suffix&quot;:&quot;&quot;},{&quot;dropping-particle&quot;:&quot;&quot;,&quot;family&quot;:&quot;Zipfel&quot;,&quot;given&quot;:&quot;Nina&quot;,&quot;non-dropping-particle&quot;:&quot;&quot;,&quot;parse-names&quot;:false,&quot;suffix&quot;:&quot;&quot;},{&quot;dropping-particle&quot;:&quot;&quot;,&quot;family&quot;:&quot;Wees&quot;,&quot;given&quot;:&quot;Philip J.&quot;,&quot;non-dropping-particle&quot;:&quot;Van Der&quot;,&quot;parse-names&quot;:false,&quot;suffix&quot;:&quot;&quot;},{&quot;dropping-particle&quot;:&quot;&quot;,&quot;family&quot;:&quot;Melles&quot;,&quot;given&quot;:&quot;Marijke&quot;,&quot;non-dropping-particle&quot;:&quot;&quot;,&quot;parse-names&quot;:false,&quot;suffix&quot;:&quot;&quot;},{&quot;dropping-particle&quot;:&quot;&quot;,&quot;family&quot;:&quot;Hoving&quot;,&quot;given&quot;:&quot;Jan L.&quot;,&quot;non-dropping-particle&quot;:&quot;&quot;,&quot;parse-names&quot;:false,&quot;suffix&quot;:&quot;&quot;},{&quot;dropping-particle&quot;:&quot;&quot;,&quot;family&quot;:&quot;Burg-Vermeulen&quot;,&quot;given&quot;:&quot;Sylvia J.&quot;,&quot;non-dropping-particle&quot;:&quot;Van Der&quot;,&quot;parse-names&quot;:false,&quot;suffix&quot;:&quot;&quot;}],&quot;container-title&quot;:&quot;BMJ Open Quality&quot;,&quot;id&quot;:&quot;b6445eda-1c4d-5153-87b5-366026bd834e&quot;,&quot;issue&quot;:&quot;4&quot;,&quot;issued&quot;:{&quot;date-parts&quot;:[[&quot;2024&quot;,&quot;12&quot;,&quot;30&quot;]]},&quot;page&quot;:&quot;Article e002878&quot;,&quot;publisher&quot;:&quot;BMJ Publishing Group&quot;,&quot;title&quot;:&quot;Value-based healthcare for social insurance medicine: key enablers for adoption in practice&quot;,&quot;type&quot;:&quot;article-journal&quot;,&quot;volume&quot;:&quot;13&quot;},&quot;uris&quot;:[&quot;http://www.mendeley.com/documents/?uuid=41460dc2-9dc0-35e8-ac69-3b9b4ea1941d&quot;],&quot;isTemporary&quot;:false,&quot;legacyDesktopId&quot;:&quot;41460dc2-9dc0-35e8-ac69-3b9b4ea1941d&quot;}],&quot;properties&quot;:{&quot;noteIndex&quot;:0},&quot;isEdited&quot;:false,&quot;manualOverride&quot;:{&quot;citeprocText&quot;:&quot;(Hagendijk et al., 2024; Williams-Johnson &amp;#38; Rickert, 2024)&quot;,&quot;isManuallyOverridden&quot;:false,&quot;manualOverrideText&quot;:&quot;&quot;},&quot;citationTag&quot;:&quot;MENDELEY_CITATION_v3_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&quot;},{&quot;citationID&quot;:&quot;MENDELEY_CITATION_9c94883b-091b-4b67-a951-9de3196ebc3c&quot;,&quot;citationItems&quot;:[{&quot;id&quot;:&quot;f466d79e-b620-527d-a259-51c8baf5f539&quot;,&quot;itemData&quot;:{&quot;DOI&quot;:&quot;10.1371/journal.pgph.0003924&quot;,&quot;ISSN&quot;:&quot;27673375&quot;,&quot;abstract&quot;:&quot;In Ontario, collaborations between Public Health Units (PHUs) and faith-based organizations (FBOs) and other community organizations were implemented to deliver interventions aimed at building trust in vaccines among ethnoracial communities. This research sought to explore the processes of PHU engagement with FBOs, and challenges encountered. A qualitative research study based on in-depth interviews was conducted with 18 of the 34 Ontario PHUs who expressed an interest. Braun and Clarke’s \&quot;experiential\&quot; approach was used to explore the realities of PHUs’ contextual experiences and perspectives. PHUs developed a two-phased process for engaging with FBOs and ethnoracial communities. First, PHUs created internal frameworks for dialogue to use available data to better understand the diverse needs of these equity-seeking groups. The second phase involved a three-stage engagement process:1) Consultation and information sharing was employed to facilitate early and open dialogue. 2) Work with FBOs and interested communities to plan vaccine deployment strategies to meet the needs of different faith and ethno-racial groups, and jointly plan the implementation of vaccination clinics. 3) Share roles and responsibilities with FBOs to roll out vaccine confidence strategies. The PHUs’ openness to honest dialogue with FBOs, commitment to building relationships based on respect for different beliefs and opinions about vaccines, and previous experience working together all facilitated engagement. Lessons learned from this research can guide the implementation of future vaccination programs. Ensuring early and regular engagement with FBOs a priority strategy and devoting substantial resources (human,financial and duration) are both necessary to improve vaccine confidence and promote equity for ethno-racial groups.&quot;,&quot;author&quot;:[{&quot;dropping-particle&quot;:&quot;&quot;,&quot;family&quot;:&quot;Kadio&quot;,&quot;given&quot;:&quot;Kadidiatou&quot;,&quot;non-dropping-particle&quot;:&quot;&quot;,&quot;parse-names&quot;:false,&quot;suffix&quot;:&quot;&quot;},{&quot;dropping-particle&quot;:&quot;&quot;,&quot;family&quot;:&quot;Song&quot;,&quot;given&quot;:&quot;Melodie Yunju&quot;,&quot;non-dropping-particle&quot;:&quot;&quot;,&quot;parse-names&quot;:false,&quot;suffix&quot;:&quot;&quot;},{&quot;dropping-particle&quot;:&quot;&quot;,&quot;family&quot;:&quot;Karbasi&quot;,&quot;given&quot;:&quot;Anna&quot;,&quot;non-dropping-particle&quot;:&quot;&quot;,&quot;parse-names&quot;:false,&quot;suffix&quot;:&quot;&quot;},{&quot;dropping-particle&quot;:&quot;&quot;,&quot;family&quot;:&quot;Blake-Hepburn&quot;,&quot;given&quot;:&quot;Denessia&quot;,&quot;non-dropping-particle&quot;:&quot;&quot;,&quot;parse-names&quot;:false,&quot;suffix&quot;:&quot;&quot;},{&quot;dropping-particle&quot;:&quot;&quot;,&quot;family&quot;:&quot;Fadel&quot;,&quot;given&quot;:&quot;Shaza A.&quot;,&quot;non-dropping-particle&quot;:&quot;&quot;,&quot;parse-names&quot;:false,&quot;suffix&quot;:&quot;&quot;},{&quot;dropping-particle&quot;:&quot;&quot;,&quot;family&quot;:&quot;Allin&quot;,&quot;given&quot;:&quot;Sara&quot;,&quot;non-dropping-particle&quot;:&quot;&quot;,&quot;parse-names&quot;:false,&quot;suffix&quot;:&quot;&quot;},{&quot;dropping-particle&quot;:&quot;&quot;,&quot;family&quot;:&quot;Ataullahjan&quot;,&quot;given&quot;:&quot;Anushka&quot;,&quot;non-dropping-particle&quot;:&quot;&quot;,&quot;parse-names&quot;:false,&quot;suffix&quot;:&quot;&quot;},{&quot;dropping-particle&quot;:&quot;&quot;,&quot;family&quot;:&quot;Ruggiero&quot;,&quot;given&quot;:&quot;Erica&quot;,&quot;non-dropping-particle&quot;:&quot;Di&quot;,&quot;parse-names&quot;:false,&quot;suffix&quot;:&quot;&quot;}],&quot;container-title&quot;:&quot;Plos Global Public Health&quot;,&quot;id&quot;:&quot;f466d79e-b620-527d-a259-51c8baf5f539&quot;,&quot;issue&quot;:&quot;12&quot;,&quot;issued&quot;:{&quot;date-parts&quot;:[[&quot;2024&quot;,&quot;12&quot;,&quot;31&quot;]]},&quot;page&quot;:&quot;Article e0003924&quot;,&quot;publisher&quot;:&quot;Public Library of Science&quot;,&quot;title&quot;:&quot;How have Ontario Public Health units engaged with faith-based organizations to build confidence in COVID-19 vaccines among ethno-racial communities&quot;,&quot;type&quot;:&quot;article-journal&quot;,&quot;volume&quot;:&quot;4&quot;},&quot;uris&quot;:[&quot;http://www.mendeley.com/documents/?uuid=3916864e-62f7-37b0-b3d1-1afda479292b&quot;],&quot;isTemporary&quot;:false,&quot;legacyDesktopId&quot;:&quot;3916864e-62f7-37b0-b3d1-1afda479292b&quot;},{&quot;id&quot;:&quot;9d50a8ec-6a0e-5d1c-9a94-c71fa18253dc&quot;,&quot;itemData&quot;:{&quot;DOI&quot;:&quot;10.52967/akz2024.4.26.11.26&quot;,&quot;ISSN&quot;:&quot;27894525&quot;,&quot;abstract&quot;:&quot;In 2024, five years have passed since the signing of the Agreement on Scientific Cooperation in the Field of Archaeology between the Margulan Institute of Archaeology of the Committee of Science of the Ministry of Science and Higher Education of the Republic of Kazakhstan (Almaty, Kazakhstan) and the Institute of Archaeology of the Russian Academy of Sciences (Moscow, Russia). During this period, the collaboration between these scientific organizations has focused on the identification, registration, study, and integration into scientific use of a series of newly stratified Paleolithic sites in the Almaty region. The partnership also included organizing an international conference-field seminar dedicated to issues of the Stone Age and conducting experimental works in the vicinity of the Rakhat site. The Kazakhstan-Russia Joint Paleolithic Expedition has been conducted in close cooperation with the Issyk State Historical and Cultural Museum-Reserve, the Tanbaly State Historical, Cultural, and Natural Museum-Reserve, the Almaty Regional Center for the Protection of Historical and Cultural Heritage, and the Institute for the History of Material Culture of the Russian Academy of Sciences. The primary research has been carried out at the multilayered stratified site of Rakhat, where 16 cultural layers were identified, dating from 28,000 years ago to 19,400 years ago. This unique site offers opportunities to study the transformation processes of cultures from different stages of the Upper Paleolithic in the context of the global climatic changes of the Last Glacial Maximum. The research findings from the site were presented to the broader scientific community in 2022. In addition to the Rakhat site, investigations in recent years have begun at sites such as Uzynagash 1–3 and Saryzhazyk 1–4.&quot;,&quot;author&quot;:[{&quot;dropping-particle&quot;:&quot;&quot;,&quot;family&quot;:&quot;Mamirov&quot;,&quot;given&quot;:&quot;Talgat&quot;,&quot;non-dropping-particle&quot;:&quot;&quot;,&quot;parse-names&quot;:false,&quot;suffix&quot;:&quot;&quot;},{&quot;dropping-particle&quot;:&quot;&quot;,&quot;family&quot;:&quot;Ozherelyev&quot;,&quot;given&quot;:&quot;Dmitry&quot;,&quot;non-dropping-particle&quot;:&quot;&quot;,&quot;parse-names&quot;:false,&quot;suffix&quot;:&quot;&quot;},{&quot;dropping-particle&quot;:&quot;&quot;,&quot;family&quot;:&quot;Artyukhova&quot;,&quot;given&quot;:&quot;Olga&quot;,&quot;non-dropping-particle&quot;:&quot;&quot;,&quot;parse-names&quot;:false,&quot;suffix&quot;:&quot;&quot;},{&quot;dropping-particle&quot;:&quot;&quot;,&quot;family&quot;:&quot;Otcherednoy&quot;,&quot;given&quot;:&quot;Aleksander&quot;,&quot;non-dropping-particle&quot;:&quot;&quot;,&quot;parse-names&quot;:false,&quot;suffix&quot;:&quot;&quot;},{&quot;dropping-particle&quot;:&quot;&quot;,&quot;family&quot;:&quot;Lada&quot;,&quot;given&quot;:&quot;Anton&quot;,&quot;non-dropping-particle&quot;:&quot;&quot;,&quot;parse-names&quot;:false,&quot;suffix&quot;:&quot;&quot;},{&quot;dropping-particle&quot;:&quot;&quot;,&quot;family&quot;:&quot;Vikulova&quot;,&quot;given&quot;:&quot;Natalia&quot;,&quot;non-dropping-particle&quot;:&quot;&quot;,&quot;parse-names&quot;:false,&quot;suffix&quot;:&quot;&quot;},{&quot;dropping-particle&quot;:&quot;&quot;,&quot;family&quot;:&quot;Aminova&quot;,&quot;given&quot;:&quot;Rimma&quot;,&quot;non-dropping-particle&quot;:&quot;&quot;,&quot;parse-names&quot;:false,&quot;suffix&quot;:&quot;&quot;},{&quot;dropping-particle&quot;:&quot;&quot;,&quot;family&quot;:&quot;Eskendirov&quot;,&quot;given&quot;:&quot;Kanat&quot;,&quot;non-dropping-particle&quot;:&quot;&quot;,&quot;parse-names&quot;:false,&quot;suffix&quot;:&quot;&quot;},{&quot;dropping-particle&quot;:&quot;&quot;,&quot;family&quot;:&quot;Ferapontov&quot;,&quot;given&quot;:&quot;Anton&quot;,&quot;non-dropping-particle&quot;:&quot;&quot;,&quot;parse-names&quot;:false,&quot;suffix&quot;:&quot;&quot;},{&quot;dropping-particle&quot;:&quot;&quot;,&quot;family&quot;:&quot;Kuandyk&quot;,&quot;given&quot;:&quot;Samrat&quot;,&quot;non-dropping-particle&quot;:&quot;&quot;,&quot;parse-names&quot;:false,&quot;suffix&quot;:&quot;&quot;}],&quot;container-title&quot;:&quot;Kazakhstan Archeology&quot;,&quot;id&quot;:&quot;9d50a8ec-6a0e-5d1c-9a94-c71fa18253dc&quot;,&quot;issue&quot;:&quot;4&quot;,&quot;issued&quot;:{&quot;date-parts&quot;:[[&quot;2024&quot;,&quot;12&quot;,&quot;31&quot;]]},&quot;page&quot;:&quot;11-26&quot;,&quot;publisher&quot;:&quot;Margulan Institute of Archaeology&quot;,&quot;title&quot;:&quot;New Cultural and Technological Paradigms in Paleolithic Discoveries in the Zhetysu and Northern Balkhash regions&quot;,&quot;type&quot;:&quot;article-journal&quot;,&quot;volume&quot;:&quot;26&quot;},&quot;uris&quot;:[&quot;http://www.mendeley.com/documents/?uuid=7dc9f1f6-7c18-3dfb-b160-d54b83189a2f&quot;],&quot;isTemporary&quot;:false,&quot;legacyDesktopId&quot;:&quot;7dc9f1f6-7c18-3dfb-b160-d54b83189a2f&quot;}],&quot;properties&quot;:{&quot;noteIndex&quot;:0},&quot;isEdited&quot;:false,&quot;manualOverride&quot;:{&quot;citeprocText&quot;:&quot;(Kadio et al., 2024; Mamirov et al., 2024)&quot;,&quot;isManuallyOverridden&quot;:false,&quot;manualOverrideText&quot;:&quot;&quot;},&quot;citationTag&quot;:&quot;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&quot;},{&quot;citationID&quot;:&quot;MENDELEY_CITATION_eba7df8e-fe1b-4089-b063-441a5a7089d2&quot;,&quot;citationItems&quot;:[{&quot;id&quot;:&quot;6c67f796-e722-5069-a69c-d072a2dd926a&quot;,&quot;itemData&quot;:{&quot;ISSN&quot;:&quot;1042-1629&quot;,&quot;author&quot;:[{&quot;dropping-particle&quot;:&quot;&quot;,&quot;family&quot;:&quot;Koehler&quot;,&quot;given&quot;:&quot;Adrie A&quot;,&quot;non-dropping-particle&quot;:&quot;&quot;,&quot;parse-names&quot;:false,&quot;suffix&quot;:&quot;&quot;},{&quot;dropping-particle&quot;:&quot;&quot;,&quot;family&quot;:&quot;Vilarinho-Pereira&quot;,&quot;given&quot;:&quot;Daniela Rezende&quot;,&quot;non-dropping-particle&quot;:&quot;&quot;,&quot;parse-names&quot;:false,&quot;suffix&quot;:&quot;&quot;}],&quot;container-title&quot;:&quot;Educational technology research and development&quot;,&quot;id&quot;:&quot;6c67f796-e722-5069-a69c-d072a2dd926a&quot;,&quot;issue&quot;:&quot;2&quot;,&quot;issued&quot;:{&quot;date-parts&quot;:[[&quot;2023&quot;]]},&quot;page&quot;:&quot;199-235&quot;,&quot;publisher&quot;:&quot;Springer&quot;,&quot;title&quot;:&quot;Using social media affordances to support Ill-structured problem-solving skills: considering possibilities and challenges&quot;,&quot;type&quot;:&quot;article-journal&quot;,&quot;volume&quot;:&quot;71&quot;},&quot;uris&quot;:[&quot;http://www.mendeley.com/documents/?uuid=5cfb831d-cdc1-4b0c-9f4f-62fdffadea7f&quot;],&quot;isTemporary&quot;:false,&quot;legacyDesktopId&quot;:&quot;5cfb831d-cdc1-4b0c-9f4f-62fdffadea7f&quot;},{&quot;id&quot;:&quot;614fac85-0d34-53c6-901d-3b04bfc5468f&quot;,&quot;itemData&quot;:{&quot;ISSN&quot;:&quot;1529-1006&quot;,&quot;author&quot;:[{&quot;dropping-particle&quot;:&quot;&quot;,&quot;family&quot;:&quot;Graesser&quot;,&quot;given&quot;:&quot;Arthur C&quot;,&quot;non-dropping-particle&quot;:&quot;&quot;,&quot;parse-names&quot;:false,&quot;suffix&quot;:&quot;&quot;},{&quot;dropping-particle&quot;:&quot;&quot;,&quot;family&quot;:&quot;Fiore&quot;,&quot;given&quot;:&quot;Stephen M&quot;,&quot;non-dropping-particle&quot;:&quot;&quot;,&quot;parse-names&quot;:false,&quot;suffix&quot;:&quot;&quot;},{&quot;dropping-particle&quot;:&quot;&quot;,&quot;family&quot;:&quot;Greiff&quot;,&quot;given&quot;:&quot;Samuel&quot;,&quot;non-dropping-particle&quot;:&quot;&quot;,&quot;parse-names&quot;:false,&quot;suffix&quot;:&quot;&quot;},{&quot;dropping-particle&quot;:&quot;&quot;,&quot;family&quot;:&quot;Andrews-Todd&quot;,&quot;given&quot;:&quot;Jessica&quot;,&quot;non-dropping-particle&quot;:&quot;&quot;,&quot;parse-names&quot;:false,&quot;suffix&quot;:&quot;&quot;},{&quot;dropping-particle&quot;:&quot;&quot;,&quot;family&quot;:&quot;Foltz&quot;,&quot;given&quot;:&quot;Peter W&quot;,&quot;non-dropping-particle&quot;:&quot;&quot;,&quot;parse-names&quot;:false,&quot;suffix&quot;:&quot;&quot;},{&quot;dropping-particle&quot;:&quot;&quot;,&quot;family&quot;:&quot;Hesse&quot;,&quot;given&quot;:&quot;Friedrich W&quot;,&quot;non-dropping-particle&quot;:&quot;&quot;,&quot;parse-names&quot;:false,&quot;suffix&quot;:&quot;&quot;}],&quot;container-title&quot;:&quot;Psychological science in the public interest&quot;,&quot;id&quot;:&quot;614fac85-0d34-53c6-901d-3b04bfc5468f&quot;,&quot;issue&quot;:&quot;2&quot;,&quot;issued&quot;:{&quot;date-parts&quot;:[[&quot;2018&quot;]]},&quot;page&quot;:&quot;59-92&quot;,&quot;publisher&quot;:&quot;Sage Publications Sage CA: Los Angeles, CA&quot;,&quot;title&quot;:&quot;Advancing the science of collaborative problem solving&quot;,&quot;type&quot;:&quot;article-journal&quot;,&quot;volume&quot;:&quot;19&quot;},&quot;uris&quot;:[&quot;http://www.mendeley.com/documents/?uuid=3246042a-adfa-47dd-b05b-fd8b244c6b71&quot;],&quot;isTemporary&quot;:false,&quot;legacyDesktopId&quot;:&quot;3246042a-adfa-47dd-b05b-fd8b244c6b71&quot;}],&quot;properties&quot;:{&quot;noteIndex&quot;:0},&quot;isEdited&quot;:false,&quot;manualOverride&quot;:{&quot;citeprocText&quot;:&quot;(Graesser et al., 2018; Koehler &amp;#38; Vilarinho-Pereira, 2023)&quot;,&quot;isManuallyOverridden&quot;:false,&quot;manualOverrideText&quot;:&quot;&quot;},&quot;citationTag&quot;:&quot;MENDELEY_CITATION_v3_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&quot;},{&quot;citationID&quot;:&quot;MENDELEY_CITATION_6a4a744c-03e5-4da0-855b-d166877c3f6d&quot;,&quot;citationItems&quot;:[{&quot;id&quot;:&quot;07e06d07-fc84-5dd1-b38c-e711db00d3da&quot;,&quot;itemData&quot;:{&quot;DOI&quot;:&quot;10.18848/2324-7576/CGP/v19i02/155-176&quot;,&quot;ISSN&quot;:&quot;23247584&quot;,&quot;abstract&quot;:&quot;In the wake of neoliberal retrenchment, many local governments have established offices of community engagement and charged them with establishing new participatory governance structures—citizens’ committees, councils, panels, forums, advisory boards—that are meant to foster collaboration between the state and civil society. The purpose of this paper is to explore the structural limitations and hidden potential of these participatory governance structures, which are also known as public consultative mechanisms. Although these entities may be predicated on empowerment and democratization, they are often designed to restrict non-state actors to pro-forma (non)participation. To secure attendance levels sufficient to legitimize their claims to engagement, state-appointed community resource officers (CROs) must attract potential members to participatory governance structures with public ritual performances of “community.” This paper is based on data gathered from a multi-year longitudinal study of a state-sponsored participatory governance structure that employed qualitative research methods, including participant observation, ethnographic interviews, and artifact analysis. While these secular rituals may be structured to preclude meaningful participation, the citizen-activists who attend should not be mistaken for unwitting dupes in some state-directed scheme to attract external grants. The data presented here suggest that by strategically leveraging their presumed embodiment of the organic community with whom the state has ostensibly pledged to collaborate, participants subvert the rules and structure of state-sponsored ritual performances of community, generating new opportunities to challenge authority, voice demands, and express solidarity. Consequently, this paper argues that even performative public consultation mechanisms can potentially enable local governments to become more responsive to the needs of their subjects, though not in the manner celebrated by proponents of participatory grassroots development.&quot;,&quot;author&quot;:[{&quot;dropping-particle&quot;:&quot;&quot;,&quot;family&quot;:&quot;Alvaré&quot;,&quot;given&quot;:&quot;Bretton T.&quot;,&quot;non-dropping-particle&quot;:&quot;&quot;,&quot;parse-names&quot;:false,&quot;suffix&quot;:&quot;&quot;}],&quot;container-title&quot;:&quot;International Journal of Interdisciplinary Social and Community Studies&quot;,&quot;id&quot;:&quot;07e06d07-fc84-5dd1-b38c-e711db00d3da&quot;,&quot;issue&quot;:&quot;2&quot;,&quot;issued&quot;:{&quot;date-parts&quot;:[[&quot;2024&quot;,&quot;12&quot;,&quot;30&quot;]]},&quot;page&quot;:&quot;155-176&quot;,&quot;publisher&quot;:&quot;Common Ground Research Networks&quot;,&quot;title&quot;:&quot;Conjuring Community: The Hidden Promise of Performative Participatory Governance&quot;,&quot;type&quot;:&quot;article-journal&quot;,&quot;volume&quot;:&quot;19&quot;},&quot;uris&quot;:[&quot;http://www.mendeley.com/documents/?uuid=71ccb179-ea09-307a-a54e-b723acf4cafa&quot;],&quot;isTemporary&quot;:false,&quot;legacyDesktopId&quot;:&quot;71ccb179-ea09-307a-a54e-b723acf4cafa&quot;},{&quot;id&quot;:&quot;102e2380-7370-553e-ad9b-b3a6efb0c854&quot;,&quot;itemData&quot;:{&quot;ISSN&quot;:&quot;0020-7373&quot;,&quot;author&quot;:[{&quot;dropping-particle&quot;:&quot;&quot;,&quot;family&quot;:&quot;Gaines&quot;,&quot;given&quot;:&quot;Brian R&quot;,&quot;non-dropping-particle&quot;:&quot;&quot;,&quot;parse-names&quot;:false,&quot;suffix&quot;:&quot;&quot;}],&quot;container-title&quot;:&quot;International Journal of Man-Machine Studies&quot;,&quot;id&quot;:&quot;102e2380-7370-553e-ad9b-b3a6efb0c854&quot;,&quot;issue&quot;:&quot;4&quot;,&quot;issued&quot;:{&quot;date-parts&quot;:[[&quot;1987&quot;]]},&quot;page&quot;:&quot;453-472&quot;,&quot;publisher&quot;:&quot;Elsevier&quot;,&quot;title&quot;:&quot;An overview of knowledge-acquisition and transfer&quot;,&quot;type&quot;:&quot;article-journal&quot;,&quot;volume&quot;:&quot;26&quot;},&quot;uris&quot;:[&quot;http://www.mendeley.com/documents/?uuid=5ba69867-1b5c-4474-878e-8d0d45e15837&quot;],&quot;isTemporary&quot;:false,&quot;legacyDesktopId&quot;:&quot;5ba69867-1b5c-4474-878e-8d0d45e15837&quot;}],&quot;properties&quot;:{&quot;noteIndex&quot;:0},&quot;isEdited&quot;:false,&quot;manualOverride&quot;:{&quot;citeprocText&quot;:&quot;(Alvaré, 2024; Gaines, 1987)&quot;,&quot;isManuallyOverridden&quot;:true,&quot;manualOverrideText&quot;:&quot;(Alvaré, 2024;)&quot;},&quot;citationTag&quot;:&quot;MENDELEY_CITATION_v3_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&quot;},{&quot;citationID&quot;:&quot;MENDELEY_CITATION_988f3210-0616-446a-aaf2-e35096afd6f5&quot;,&quot;citationItems&quot;:[{&quot;id&quot;:&quot;abdedf4f-8e7c-544a-b663-b84bdfc5744c&quot;,&quot;itemData&quot;:{&quot;DOI&quot;:&quot;10.3788/IRLA20240250&quot;,&quot;ISSN&quot;:&quot;10072276&quot;,&quot;abstract&quot;:&quot;Objective The interaction between laser and metal materials under high-speed airflow is an important aspect of laser irradiation effects. In high-speed airflow environment, laser ablation behavior characterized by high temperature rise rate can oxidize and rapidly transform the surface of metal steel, resulting in significant changes in surface heat transfer, oxidation heat release, and aerodynamic forces, which in turn affect its thermal performance and usability. The ablation behavior of metal steel is influenced by various factors such as surface high-temperature oxidation reaction, airflow convection heat dissipation, airflow erosion, and absorption rate. Currently, there are few numerical models that consider the coupling effect of these factors. Therefore, it is necessary to establish a suitable numerical model to describe the laser thermochemical ablation behavior of metal steel under airflow conditions, in order to characterize the multi physics field response law of metal steel during laser loading and improve the calculation accuracy of the numerical model. Methods Combining experimental and simulation methods, the laser thermochemical ablation behavior of metal steel is studied. The thermal response temperature and ablation morphology of 30CrMnSiA steel are obtained through laser airflow combined loading experiments using a chemical laser (Fig.2) and a movable wind tunnel (Fig.6-Fig.7). The finite element software flow field analysis and thermal analysis module are used to numerically simulate the thermal fluid solid coupling process of laser irradiated 30CrMnSiA steel. Nonlinear changes in parameters such as reflectivity, chemical reaction heat, and latent heat of phase transformation during the ablation process are implemented using a secondary development program. The degradation process of the ablation interface in the fluid and solid domains is achieved using the dynamic grid method (Fig.4). Result and Discussion A numerical model for laser ablation of metal steel was established, which considers the effects of high-speed airflow, changes in reflectivity caused by thermochemical reactions (Fig.9), and heat absorption/release. For the thermochemical ablation behavior of metal steel, a chemical laser loading experiment was designed to obtain the morphology of metal melting and thermal response temperature. This numerical model can accurately reflect variables such as thermal response temperature and ablation amount during laser ablation of…&quot;,&quot;author&quot;:[{&quot;dropping-particle&quot;:&quot;&quot;,&quot;family&quot;:&quot;Yin&quot;,&quot;given&quot;:&quot;Qianfeng&quot;,&quot;non-dropping-particle&quot;:&quot;&quot;,&quot;parse-names&quot;:false,&quot;suffix&quot;:&quot;&quot;},{&quot;dropping-particle&quot;:&quot;&quot;,&quot;family&quot;:&quot;Chen&quot;,&quot;given&quot;:&quot;Jiazheng&quot;,&quot;non-dropping-particle&quot;:&quot;&quot;,&quot;parse-names&quot;:false,&quot;suffix&quot;:&quot;&quot;},{&quot;dropping-particle&quot;:&quot;&quot;,&quot;family&quot;:&quot;Zhou&quot;,&quot;given&quot;:&quot;Zhongyu&quot;,&quot;non-dropping-particle&quot;:&quot;&quot;,&quot;parse-names&quot;:false,&quot;suffix&quot;:&quot;&quot;},{&quot;dropping-particle&quot;:&quot;&quot;,&quot;family&quot;:&quot;Zhang&quot;,&quot;given&quot;:&quot;Yongqiang&quot;,&quot;non-dropping-particle&quot;:&quot;&quot;,&quot;parse-names&quot;:false,&quot;suffix&quot;:&quot;&quot;},{&quot;dropping-particle&quot;:&quot;&quot;,&quot;family&quot;:&quot;Tan&quot;,&quot;given&quot;:&quot;Fuli&quot;,&quot;non-dropping-particle&quot;:&quot;&quot;,&quot;parse-names&quot;:false,&quot;suffix&quot;:&quot;&quot;},{&quot;dropping-particle&quot;:&quot;&quot;,&quot;family&quot;:&quot;Zhang&quot;,&quot;given&quot;:&quot;Li&quot;,&quot;non-dropping-particle&quot;:&quot;&quot;,&quot;parse-names&quot;:false,&quot;suffix&quot;:&quot;&quot;}],&quot;container-title&quot;:&quot;Infrared and Laser Engineering&quot;,&quot;id&quot;:&quot;abdedf4f-8e7c-544a-b663-b84bdfc5744c&quot;,&quot;issue&quot;:&quot;12&quot;,&quot;issued&quot;:{&quot;date-parts&quot;:[[&quot;2024&quot;,&quot;12&quot;,&quot;31&quot;]]},&quot;page&quot;:&quot;Article 20240250&quot;,&quot;publisher&quot;:&quot;Science Press&quot;,&quot;title&quot;:&quot;Study on laser thermochemical ablation of 30CrMnSiA steel under airflow conditions | 气流条件下30CrMnSiA钢的激光热化学烧蚀研究&quot;,&quot;type&quot;:&quot;article-journal&quot;,&quot;volume&quot;:&quot;53&quot;},&quot;uris&quot;:[&quot;http://www.mendeley.com/documents/?uuid=5a4462c2-517b-35a7-8f93-8df985228142&quot;],&quot;isTemporary&quot;:false,&quot;legacyDesktopId&quot;:&quot;5a4462c2-517b-35a7-8f93-8df985228142&quot;}],&quot;properties&quot;:{&quot;noteIndex&quot;:0},&quot;isEdited&quot;:false,&quot;manualOverride&quot;:{&quot;citeprocText&quot;:&quot;(Yin et al., 2024)&quot;,&quot;isManuallyOverridden&quot;:false,&quot;manualOverrideText&quot;:&quot;&quot;},&quot;citationTag&quot;:&quot;MENDELEY_CITATION_v3_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&quot;},{&quot;citationID&quot;:&quot;MENDELEY_CITATION_41a19ff8-bf6c-47d7-8aa1-85a89fc1da00&quot;,&quot;citationItems&quot;:[{&quot;id&quot;:&quot;799447ae-f9f8-57d4-bc4a-05ebb0938d55&quot;,&quot;itemData&quot;:{&quot;DOI&quot;:&quot;10.3788/IRLA20240397&quot;,&quot;ISSN&quot;:&quot;10072276&quot;,&quot;abstract&quot;:&quot;Objective. The wind field in the middle and upper atmosphere is a crucial parameter in the study of atmospheric dynamics. High-resolution and high-precision detection of the wind field can provide more comprehensive data support for further understanding the local or global atmospheric wave conditions, the coupling process between different altitudes of the atmosphere, and the characteristics of atmospheric material and energy transport. The wind imaging interferometry has become an effective means for detecting the wind field in the upper atmosphere. The representative instrument of the four-zone birefringent static wind imaging interferometry technology, the Birefringent Doppler Wind Imaging Interferometer (BIDWIN), has advantages such as good stability, small size, light weight, and low calibration difficulty. This paper aims to establish the Jones matrix model of BIDWIN, simulate and analyze the variation of the phase steps in the four-zone field of view, study the variation of the usable field of view range of BIDWIN with the optical misalignment of the system, provide guidance for the instrument development, calibration, maintenance, and wind field detection experiments, and optimize the development of the four-zone birefringent static wind imaging interferometry technology scheme. Methods. Based on the system principle of BIDWIN, the Jones matrix model of the instrument was established to elaborate the principle of wind field detection. A birefringent Doppler wind imaging interferometer optical system was designed, relevant parameters were set, and the Jones matrix model was used to simulate the four-zone interferogram obtained on the detector. The BIDWIN Jones matrix model was used to simulate the rotation and tilt of the second delay plate relative to the first delay plate, as well as the rotation of the entire field widened delay plates, and analyze the variation of the phase steps across the field of view in the case of optical misalignment of the instrument. Results and Discussions. The simulated four-zone interferogram showed that the interferogram was divided into four zones, and each zone still retained the annular feature. The phase steps of the four zones of the interferometer will change with the field of view and do not always satisfy the four-step full-cycle equidistant sampling. Among them, there must be 0° and 180° in the four phase steps (Fig.3). If the other two phases are also close to or equal to 0° and 180°, it will cause the …&quot;,&quot;author&quot;:[{&quot;dropping-particle&quot;:&quot;&quot;,&quot;family&quot;:&quot;Yan&quot;,&quot;given&quot;:&quot;Tingyu&quot;,&quot;non-dropping-particle&quot;:&quot;&quot;,&quot;parse-names&quot;:false,&quot;suffix&quot;:&quot;&quot;},{&quot;dropping-particle&quot;:&quot;&quot;,&quot;family&quot;:&quot;Luo&quot;,&quot;given&quot;:&quot;Wenyi&quot;,&quot;non-dropping-particle&quot;:&quot;&quot;,&quot;parse-names&quot;:false,&quot;suffix&quot;:&quot;&quot;},{&quot;dropping-particle&quot;:&quot;&quot;,&quot;family&quot;:&quot;Wang&quot;,&quot;given&quot;:&quot;Hao&quot;,&quot;non-dropping-particle&quot;:&quot;&quot;,&quot;parse-names&quot;:false,&quot;suffix&quot;:&quot;&quot;},{&quot;dropping-particle&quot;:&quot;&quot;,&quot;family&quot;:&quot;Zhang&quot;,&quot;given&quot;:&quot;Chunmin&quot;,&quot;non-dropping-particle&quot;:&quot;&quot;,&quot;parse-names&quot;:false,&quot;suffix&quot;:&quot;&quot;},{&quot;dropping-particle&quot;:&quot;&quot;,&quot;family&quot;:&quot;Guo&quot;,&quot;given&quot;:&quot;Shiping&quot;,&quot;non-dropping-particle&quot;:&quot;&quot;,&quot;parse-names&quot;:false,&quot;suffix&quot;:&quot;&quot;}],&quot;container-title&quot;:&quot;Infrared and Laser Engineering&quot;,&quot;id&quot;:&quot;799447ae-f9f8-57d4-bc4a-05ebb0938d55&quot;,&quot;issue&quot;:&quot;12&quot;,&quot;issued&quot;:{&quot;date-parts&quot;:[[&quot;2024&quot;,&quot;12&quot;,&quot;31&quot;]]},&quot;page&quot;:&quot;Article 20240397&quot;,&quot;publisher&quot;:&quot;Science Press&quot;,&quot;title&quot;:&quot;Research on the field of view characteristics of the birefringent Doppler wind imaging interferometer under optical misalignment | 双折射多普勒风成像干涉仪光学失配下视场特性研究&quot;,&quot;type&quot;:&quot;article-journal&quot;,&quot;volume&quot;:&quot;53&quot;},&quot;uris&quot;:[&quot;http://www.mendeley.com/documents/?uuid=7541d78e-816c-3776-8fe2-4fc5188dbaa5&quot;],&quot;isTemporary&quot;:false,&quot;legacyDesktopId&quot;:&quot;7541d78e-816c-3776-8fe2-4fc5188dbaa5&quot;},{&quot;id&quot;:&quot;f65fbb54-4961-5812-88f2-fa7f3f3bc99b&quot;,&quot;itemData&quot;:{&quot;DOI&quot;:&quot;10.3788/IRLA20240356&quot;,&quot;ISSN&quot;:&quot;10072276&quot;,&quot;abstract&quot;:&quot;Objective For fluorescence endoscopic imaging system, the depth of tumor detection determined by the signal-to-noise ratio of the fluorescence image is the core index of its detection ability, which directly affects the effect of tumor resection. During the design process of rigid endoscopic systems, under the condition of working distance determination, the signal-to-noise ratio is determined by the entrance pupil diameter, excitation light irradiance, fluorescent probe concentration, integration time, noise and so on together. Traditional design methods do not consider either the propagation process of illumination light in biological tissues nor the response of the detector, so that the optical design and biological tissues are isolated from each other. The overall performance of endoscope system cannot be optimized theoretically. The overall design index lacks the theoretical guidance of the signal-to-noise ratio model. At present, most of the tumor depth is estimated by CT, ultrasound and other diagnostic means, and there is a lack of assessment methods using fluorescence endoscopy. So, it’s necessary to apply auxiliary diagnosis by other methods while using fluorescence endoscopy, which does not meet the practical application requirements. Therefore, it is necessary to establish an whole-link signal-to-noise model, which not only provides theoretical guidance and basis for the design of fluorescent rigid endoscopes, but also aids in intraoperative tumor localization by combining the advantages of fluorescent endoscopes in terms of high image contrast, fast imaging speed, low adverse reaction and non-contact measurement. Methods Firstly, starting from the illumination of the end face of the optical fiber, photometric theory is used to calculate the luminescence intensity and the surface irradiance of biological tissues at the working distance of the endoscope. And then the propagation of photons in the tissue body is simulated through the Monte Carlo method, some of the fluorescence generated by it will be transmitted outside the tissues at the same time. The internal distribution of light in biological tissues and its external radiation intensity are calculated based on theory, which can help to obtain the irradiance at the pupil entrance of the fluorescent endoscope. Secondly, the fluorescence is gain-focused on a CMOS detector image through the fluorescent endoscope optics. The noise of the background, detector, and readout circuit is taken into…&quot;,&quot;author&quot;:[{&quot;dropping-particle&quot;:&quot;&quot;,&quot;family&quot;:&quot;Qiu&quot;,&quot;given&quot;:&quot;Mingjie&quot;,&quot;non-dropping-particle&quot;:&quot;&quot;,&quot;parse-names&quot;:false,&quot;suffix&quot;:&quot;&quot;},{&quot;dropping-particle&quot;:&quot;&quot;,&quot;family&quot;:&quot;Meng&quot;,&quot;given&quot;:&quot;Xiangxiang&quot;,&quot;non-dropping-particle&quot;:&quot;&quot;,&quot;parse-names&quot;:false,&quot;suffix&quot;:&quot;&quot;},{&quot;dropping-particle&quot;:&quot;&quot;,&quot;family&quot;:&quot;Shang&quot;,&quot;given&quot;:&quot;Han&quot;,&quot;non-dropping-particle&quot;:&quot;&quot;,&quot;parse-names&quot;:false,&quot;suffix&quot;:&quot;&quot;}],&quot;container-title&quot;:&quot;Infrared and Laser Engineering&quot;,&quot;id&quot;:&quot;f65fbb54-4961-5812-88f2-fa7f3f3bc99b&quot;,&quot;issue&quot;:&quot;12&quot;,&quot;issued&quot;:{&quot;date-parts&quot;:[[&quot;2024&quot;,&quot;12&quot;,&quot;31&quot;]]},&quot;page&quot;:&quot;Article 20240356&quot;,&quot;publisher&quot;:&quot;Science Press&quot;,&quot;title&quot;:&quot;Modeling and simulation of whole-link SNR of fluorescence endoscope | 荧光内窥镜全链路信噪比模型的建立与仿真&quot;,&quot;type&quot;:&quot;article-journal&quot;,&quot;volume&quot;:&quot;53&quot;},&quot;uris&quot;:[&quot;http://www.mendeley.com/documents/?uuid=8e21f167-6959-360c-9a98-11c5d72312bc&quot;],&quot;isTemporary&quot;:false,&quot;legacyDesktopId&quot;:&quot;8e21f167-6959-360c-9a98-11c5d72312bc&quot;}],&quot;properties&quot;:{&quot;noteIndex&quot;:0},&quot;isEdited&quot;:false,&quot;manualOverride&quot;:{&quot;citeprocText&quot;:&quot;(Qiu et al., 2024; Yan et al., 2024)&quot;,&quot;isManuallyOverridden&quot;:false,&quot;manualOverrideText&quot;:&quot;&quot;},&quot;citationTag&quot;:&quot;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&quot;},{&quot;citationID&quot;:&quot;MENDELEY_CITATION_7c614ae0-5f19-4ffa-8474-2cf1fcc953c6&quot;,&quot;citationItems&quot;:[{&quot;id&quot;:&quot;c6e8564e-ec96-51f8-945e-05382f4a598a&quot;,&quot;itemData&quot;:{&quot;ISSN&quot;:&quot;2977-6988&quot;,&quot;author&quot;:[{&quot;dropping-particle&quot;:&quot;&quot;,&quot;family&quot;:&quot;Ahmad&quot;,&quot;given&quot;:&quot;Israr&quot;,&quot;non-dropping-particle&quot;:&quot;&quot;,&quot;parse-names&quot;:false,&quot;suffix&quot;:&quot;&quot;}],&quot;container-title&quot;:&quot;Sustainability Quest&quot;,&quot;id&quot;:&quot;c6e8564e-ec96-51f8-945e-05382f4a598a&quot;,&quot;issue&quot;:&quot;1&quot;,&quot;issued&quot;:{&quot;date-parts&quot;:[[&quot;2024&quot;]]},&quot;page&quot;:&quot;1-7&quot;,&quot;title&quot;:&quot;Exploring Advancing Social Equity through Sustainable Development: Challenges and Opportunities&quot;,&quot;type&quot;:&quot;article-journal&quot;,&quot;volume&quot;:&quot;1&quot;},&quot;uris&quot;:[&quot;http://www.mendeley.com/documents/?uuid=69d4e6c3-488f-4209-ba12-5aa1d19a78d1&quot;],&quot;isTemporary&quot;:false,&quot;legacyDesktopId&quot;:&quot;69d4e6c3-488f-4209-ba12-5aa1d19a78d1&quot;},{&quot;id&quot;:&quot;6050705a-dbd6-5228-8562-18dee396fb79&quot;,&quot;itemData&quot;:{&quot;author&quot;:[{&quot;dropping-particle&quot;:&quot;&quot;,&quot;family&quot;:&quot;Kumar&quot;,&quot;given&quot;:&quot;Puneet&quot;,&quot;non-dropping-particle&quot;:&quot;&quot;,&quot;parse-names&quot;:false,&quot;suffix&quot;:&quot;&quot;},{&quot;dropping-particle&quot;:&quot;&quot;,&quot;family&quot;:&quot;Sharma&quot;,&quot;given&quot;:&quot;Lokesh&quot;,&quot;non-dropping-particle&quot;:&quot;&quot;,&quot;parse-names&quot;:false,&quot;suffix&quot;:&quot;&quot;},{&quot;dropping-particle&quot;:&quot;&quot;,&quot;family&quot;:&quot;Sharma&quot;,&quot;given&quot;:&quot;Nikhilesh Chandra&quot;,&quot;non-dropping-particle&quot;:&quot;&quot;,&quot;parse-names&quot;:false,&quot;suffix&quot;:&quot;&quot;}],&quot;container-title&quot;:&quot;Sustainable partnership and investment strategies for startups and SMEs&quot;,&quot;id&quot;:&quot;6050705a-dbd6-5228-8562-18dee396fb79&quot;,&quot;issued&quot;:{&quot;date-parts&quot;:[[&quot;2024&quot;]]},&quot;page&quot;:&quot;212-234&quot;,&quot;publisher&quot;:&quot;IGI Global Scientific Publishing&quot;,&quot;title&quot;:&quot;Sustainable development balancing economic viability, environmental protection, and social equity&quot;,&quot;type&quot;:&quot;chapter&quot;},&quot;uris&quot;:[&quot;http://www.mendeley.com/documents/?uuid=d7631ebf-2b9b-4e80-959c-597530ee4a84&quot;],&quot;isTemporary&quot;:false,&quot;legacyDesktopId&quot;:&quot;d7631ebf-2b9b-4e80-959c-597530ee4a84&quot;}],&quot;properties&quot;:{&quot;noteIndex&quot;:0},&quot;isEdited&quot;:false,&quot;manualOverride&quot;:{&quot;citeprocText&quot;:&quot;(Ahmad, 2024; Kumar et al., 2024)&quot;,&quot;isManuallyOverridden&quot;:false,&quot;manualOverrideText&quot;:&quot;&quot;},&quot;citationTag&quot;:&quot;MENDELEY_CITATION_v3_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&quot;},{&quot;citationID&quot;:&quot;MENDELEY_CITATION_ee8982ce-7fbc-410f-8252-de67924b01aa&quot;,&quot;citationItems&quot;:[{&quot;id&quot;:&quot;c1127061-dc1b-5462-9d5c-fef3e962d5f2&quot;,&quot;itemData&quot;:{&quot;ISSN&quot;:&quot;0261-5479&quot;,&quot;author&quot;:[{&quot;dropping-particle&quot;:&quot;&quot;,&quot;family&quot;:&quot;Lorenzetti&quot;,&quot;given&quot;:&quot;Liza&quot;,&quot;non-dropping-particle&quot;:&quot;&quot;,&quot;parse-names&quot;:false,&quot;suffix&quot;:&quot;&quot;},{&quot;dropping-particle&quot;:&quot;&quot;,&quot;family&quot;:&quot;Halvorsen&quot;,&quot;given&quot;:&quot;Jeffery&quot;,&quot;non-dropping-particle&quot;:&quot;&quot;,&quot;parse-names&quot;:false,&quot;suffix&quot;:&quot;&quot;},{&quot;dropping-particle&quot;:&quot;&quot;,&quot;family&quot;:&quot;Dhungel&quot;,&quot;given&quot;:&quot;Rita&quot;,&quot;non-dropping-particle&quot;:&quot;&quot;,&quot;parse-names&quot;:false,&quot;suffix&quot;:&quot;&quot;},{&quot;dropping-particle&quot;:&quot;&quot;,&quot;family&quot;:&quot;Lorenzetti&quot;,&quot;given&quot;:&quot;Diane&quot;,&quot;non-dropping-particle&quot;:&quot;&quot;,&quot;parse-names&quot;:false,&quot;suffix&quot;:&quot;&quot;},{&quot;dropping-particle&quot;:&quot;&quot;,&quot;family&quot;:&quot;Oshchepkova&quot;,&quot;given&quot;:&quot;Tatiana&quot;,&quot;non-dropping-particle&quot;:&quot;&quot;,&quot;parse-names&quot;:false,&quot;suffix&quot;:&quot;&quot;},{&quot;dropping-particle&quot;:&quot;&quot;,&quot;family&quot;:&quot;Haile&quot;,&quot;given&quot;:&quot;Lemlem&quot;,&quot;non-dropping-particle&quot;:&quot;&quot;,&quot;parse-names&quot;:false,&quot;suffix&quot;:&quot;&quot;},{&quot;dropping-particle&quot;:&quot;&quot;,&quot;family&quot;:&quot;Biscette&quot;,&quot;given&quot;:&quot;Krishma&quot;,&quot;non-dropping-particle&quot;:&quot;&quot;,&quot;parse-names&quot;:false,&quot;suffix&quot;:&quot;&quot;}],&quot;container-title&quot;:&quot;Social Work Education&quot;,&quot;id&quot;:&quot;c1127061-dc1b-5462-9d5c-fef3e962d5f2&quot;,&quot;issue&quot;:&quot;7&quot;,&quot;issued&quot;:{&quot;date-parts&quot;:[[&quot;2019&quot;]]},&quot;page&quot;:&quot;875-893&quot;,&quot;publisher&quot;:&quot;Taylor &amp; Francis&quot;,&quot;title&quot;:&quot;Community based mentors and journey guides: a transformative learning approach to social work education&quot;,&quot;type&quot;:&quot;article-journal&quot;,&quot;volume&quot;:&quot;38&quot;},&quot;uris&quot;:[&quot;http://www.mendeley.com/documents/?uuid=1d14471a-bf11-4150-9a0c-7f578ce6e261&quot;],&quot;isTemporary&quot;:false,&quot;legacyDesktopId&quot;:&quot;1d14471a-bf11-4150-9a0c-7f578ce6e261&quot;},{&quot;id&quot;:&quot;12bf78b5-16ed-56ae-ae59-049207c5f4ef&quot;,&quot;itemData&quot;:{&quot;ISSN&quot;:&quot;0306-9885&quot;,&quot;author&quot;:[{&quot;dropping-particle&quot;:&quot;&quot;,&quot;family&quot;:&quot;Viviers&quot;,&quot;given&quot;:&quot;Simon&quot;,&quot;non-dropping-particle&quot;:&quot;&quot;,&quot;parse-names&quot;:false,&quot;suffix&quot;:&quot;&quot;},{&quot;dropping-particle&quot;:&quot;&quot;,&quot;family&quot;:&quot;Dionne&quot;,&quot;given&quot;:&quot;Patricia&quot;,&quot;non-dropping-particle&quot;:&quot;&quot;,&quot;parse-names&quot;:false,&quot;suffix&quot;:&quot;&quot;},{&quot;dropping-particle&quot;:&quot;&quot;,&quot;family&quot;:&quot;Supeno&quot;,&quot;given&quot;:&quot;Eddy&quot;,&quot;non-dropping-particle&quot;:&quot;&quot;,&quot;parse-names&quot;:false,&quot;suffix&quot;:&quot;&quot;}],&quot;container-title&quot;:&quot;British Journal of Guidance &amp; Counselling&quot;,&quot;id&quot;:&quot;12bf78b5-16ed-56ae-ae59-049207c5f4ef&quot;,&quot;issue&quot;:&quot;5&quot;,&quot;issued&quot;:{&quot;date-parts&quot;:[[&quot;2023&quot;]]},&quot;page&quot;:&quot;765-780&quot;,&quot;publisher&quot;:&quot;Taylor &amp; Francis&quot;,&quot;title&quot;:&quot;Guidance counsellors’ work as a transformative activity: Supporting social justice through advocacy&quot;,&quot;type&quot;:&quot;article-journal&quot;,&quot;volume&quot;:&quot;51&quot;},&quot;uris&quot;:[&quot;http://www.mendeley.com/documents/?uuid=2f722b3c-9755-4e63-ac31-92376e7d332c&quot;],&quot;isTemporary&quot;:false,&quot;legacyDesktopId&quot;:&quot;2f722b3c-9755-4e63-ac31-92376e7d332c&quot;}],&quot;properties&quot;:{&quot;noteIndex&quot;:0},&quot;isEdited&quot;:false,&quot;manualOverride&quot;:{&quot;citeprocText&quot;:&quot;(Lorenzetti et al., 2019; Viviers et al., 2023)&quot;,&quot;isManuallyOverridden&quot;:false,&quot;manualOverrideText&quot;:&quot;&quot;},&quot;citationTag&quot;:&quot;MENDELEY_CITATION_v3_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&quot;},{&quot;citationID&quot;:&quot;MENDELEY_CITATION_3147726c-8044-4992-8109-3d7baf0b5d5e&quot;,&quot;citationItems&quot;:[{&quot;id&quot;:&quot;3510716d-c8ea-56fd-a121-ab5bc66c0b7e&quot;,&quot;itemData&quot;:{&quot;DOI&quot;:&quot;10.4324/9781003367352-11&quot;,&quot;ISBN&quot;:&quot;9781040269947&quot;,&quot;abstract&quot;:&quot;This chapter explores the transformative potential of action research (AR) in enhancing student engagement and fostering their active involvement in language learning through participation in teachers' AR projects. Engaging students directly in the research process - from identifying pedagogical challenges to implementing and reflecting on interventions - AR can not only improve teaching practices but also enhance student engagement. This involvement in AR provides a context for establishing teacher-student relationships and increasing student investment in learning through meaningful contributions to research for teachers' professional development. Using the student engagement framework, the chapter illustrates how iterative cycles of AR create a democratic classroom environment where students actively participate in decision-making and influence the change process. This inclusive approach not only fosters critical thinking and a sense of ownership among students but also leads to more relevant and contextualised pedagogical changes, ultimately cultivating a collaborative and empowering learning culture where students' engagement in learning is gradually increased.&quot;,&quot;author&quot;:[{&quot;dropping-particle&quot;:&quot;&quot;,&quot;family&quot;:&quot;Dikilitaş&quot;,&quot;given&quot;:&quot;Kenan&quot;,&quot;non-dropping-particle&quot;:&quot;&quot;,&quot;parse-names&quot;:false,&quot;suffix&quot;:&quot;&quot;}],&quot;container-title&quot;:&quot;The Routledge Handbook of Language Teacher Action Research&quot;,&quot;id&quot;:&quot;3510716d-c8ea-56fd-a121-ab5bc66c0b7e&quot;,&quot;issued&quot;:{&quot;date-parts&quot;:[[&quot;2024&quot;,&quot;12&quot;,&quot;30&quot;]]},&quot;page&quot;:&quot;96-107&quot;,&quot;publisher&quot;:&quot;Taylor and Francis&quot;,&quot;title&quot;:&quot;Student engagement through action research&quot;,&quot;type&quot;:&quot;chapter&quot;,&quot;volume&quot;:&quot;pp&quot;},&quot;uris&quot;:[&quot;http://www.mendeley.com/documents/?uuid=58e8c7b4-a490-3969-94cd-5d6e315197f3&quot;],&quot;isTemporary&quot;:false,&quot;legacyDesktopId&quot;:&quot;58e8c7b4-a490-3969-94cd-5d6e315197f3&quot;}],&quot;properties&quot;:{&quot;noteIndex&quot;:0},&quot;isEdited&quot;:false,&quot;manualOverride&quot;:{&quot;citeprocText&quot;:&quot;(Dikilitaş, 2024)&quot;,&quot;isManuallyOverridden&quot;:false,&quot;manualOverrideText&quot;:&quot;&quot;},&quot;citationTag&quot;:&quot;MENDELEY_CITATION_v3_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&quot;},{&quot;citationID&quot;:&quot;MENDELEY_CITATION_1d40e226-14ce-4ae5-806c-21a2decb44c2&quot;,&quot;citationItems&quot;:[{&quot;id&quot;:&quot;8f384191-7804-5b34-9294-2153bc0a1060&quot;,&quot;itemData&quot;:{&quot;DOI&quot;:&quot;10.1038/s41598-024-82063-w&quot;,&quot;ISSN&quot;:&quot;20452322&quot;,&quot;PMID&quot;:&quot;39730668&quot;,&quot;abstract&quot;:&quot;Safe and Sustainable by Design (SSbD) is a new regulatory concept guiding chemical and material innovation. The European Commission has recommended a two-stage SSbD framework and plan to revise it based on stakeholder feedback. The framework involves establishing key (re)design SSbD principles and assessment of the final innovation, however the applicability of the framework to advanced materials remains to be addressed. Here, we applied the SSbD framework on Ti3C2Tx MXenes, an emerging advanced material, by (1) reviewing health, environmental and safety information; (2) characterizing MXenes transformation/dissolution in different media; (3) conducting (eco)toxicological experiments, and (4) completing a prospective life-cycle assessment. Our analysis suggests that Ti3C2Tx is safe and sustainable when applying the SSbD framework. Further research is needed regarding long-term hazardous effects of Ti3C2Tx and the sustainable production of the titanium precursor. Guidance is also needed on how much weight one should assign to the different lines of evidence in the overall SSbD assessment.&quot;,&quot;author&quot;:[{&quot;dropping-particle&quot;:&quot;&quot;,&quot;family&quot;:&quot;Hansen&quot;,&quot;given&quot;:&quot;Steffen Foss&quot;,&quot;non-dropping-particle&quot;:&quot;&quot;,&quot;parse-names&quot;:false,&quot;suffix&quot;:&quot;&quot;},{&quot;dropping-particle&quot;:&quot;&quot;,&quot;family&quot;:&quot;Nielsen&quot;,&quot;given&quot;:&quot;Maria Bille&quot;,&quot;non-dropping-particle&quot;:&quot;&quot;,&quot;parse-names&quot;:false,&quot;suffix&quot;:&quot;&quot;},{&quot;dropping-particle&quot;:&quot;&quot;,&quot;family&quot;:&quot;Skjolding&quot;,&quot;given&quot;:&quot;Lars Michael&quot;,&quot;non-dropping-particle&quot;:&quot;&quot;,&quot;parse-names&quot;:false,&quot;suffix&quot;:&quot;&quot;},{&quot;dropping-particle&quot;:&quot;&quot;,&quot;family&quot;:&quot;Kaur&quot;,&quot;given&quot;:&quot;Jasreen&quot;,&quot;non-dropping-particle&quot;:&quot;&quot;,&quot;parse-names&quot;:false,&quot;suffix&quot;:&quot;&quot;},{&quot;dropping-particle&quot;:&quot;&quot;,&quot;family&quot;:&quot;Desivyana&quot;,&quot;given&quot;:&quot;Nindya&quot;,&quot;non-dropping-particle&quot;:&quot;&quot;,&quot;parse-names&quot;:false,&quot;suffix&quot;:&quot;&quot;},{&quot;dropping-particle&quot;:&quot;&quot;,&quot;family&quot;:&quot;Hermansson&quot;,&quot;given&quot;:&quot;Frida&quot;,&quot;non-dropping-particle&quot;:&quot;&quot;,&quot;parse-names&quot;:false,&quot;suffix&quot;:&quot;&quot;},{&quot;dropping-particle&quot;:&quot;&quot;,&quot;family&quot;:&quot;Bird&quot;,&quot;given&quot;:&quot;James&quot;,&quot;non-dropping-particle&quot;:&quot;&quot;,&quot;parse-names&quot;:false,&quot;suffix&quot;:&quot;&quot;},{&quot;dropping-particle&quot;:&quot;&quot;,&quot;family&quot;:&quot;Barg&quot;,&quot;given&quot;:&quot;Suelen&quot;,&quot;non-dropping-particle&quot;:&quot;&quot;,&quot;parse-names&quot;:false,&quot;suffix&quot;:&quot;&quot;},{&quot;dropping-particle&quot;:&quot;&quot;,&quot;family&quot;:&quot;Khort&quot;,&quot;given&quot;:&quot;Alexander&quot;,&quot;non-dropping-particle&quot;:&quot;&quot;,&quot;parse-names&quot;:false,&quot;suffix&quot;:&quot;&quot;},{&quot;dropping-particle&quot;:&quot;&quot;,&quot;family&quot;:&quot;Odnevall&quot;,&quot;given&quot;:&quot;Inger&quot;,&quot;non-dropping-particle&quot;:&quot;&quot;,&quot;parse-names&quot;:false,&quot;suffix&quot;:&quot;&quot;},{&quot;dropping-particle&quot;:&quot;&quot;,&quot;family&quot;:&quot;Fadeel&quot;,&quot;given&quot;:&quot;Bengt&quot;,&quot;non-dropping-particle&quot;:&quot;&quot;,&quot;parse-names&quot;:false,&quot;suffix&quot;:&quot;&quot;},{&quot;dropping-particle&quot;:&quot;&quot;,&quot;family&quot;:&quot;Arvidsson&quot;,&quot;given&quot;:&quot;Rickard&quot;,&quot;non-dropping-particle&quot;:&quot;&quot;,&quot;parse-names&quot;:false,&quot;suffix&quot;:&quot;&quot;}],&quot;container-title&quot;:&quot;Scientific Reports&quot;,&quot;id&quot;:&quot;8f384191-7804-5b34-9294-2153bc0a1060&quot;,&quot;issue&quot;:&quot;1&quot;,&quot;issued&quot;:{&quot;date-parts&quot;:[[&quot;2024&quot;,&quot;12&quot;,&quot;1&quot;]]},&quot;page&quot;:&quot;Article 31030&quot;,&quot;publisher&quot;:&quot;Nature Research&quot;,&quot;title&quot;:&quot;Maximizing the safety and sustainability of MXenes&quot;,&quot;type&quot;:&quot;article-journal&quot;,&quot;volume&quot;:&quot;14&quot;},&quot;uris&quot;:[&quot;http://www.mendeley.com/documents/?uuid=91821b1c-f248-31cd-8fe0-d6e4c0f9fa31&quot;],&quot;isTemporary&quot;:false,&quot;legacyDesktopId&quot;:&quot;91821b1c-f248-31cd-8fe0-d6e4c0f9fa31&quot;}],&quot;properties&quot;:{&quot;noteIndex&quot;:0},&quot;isEdited&quot;:false,&quot;manualOverride&quot;:{&quot;citeprocText&quot;:&quot;(Hansen et al., 2024)&quot;,&quot;isManuallyOverridden&quot;:false,&quot;manualOverrideText&quot;:&quot;&quot;},&quot;citationTag&quot;:&quot;MENDELEY_CITATION_v3_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&quot;},{&quot;citationID&quot;:&quot;MENDELEY_CITATION_f3e6c191-b85b-4663-8c3c-ddfe65f31e4c&quot;,&quot;citationItems&quot;:[{&quot;id&quot;:&quot;12bf78b5-16ed-56ae-ae59-049207c5f4ef&quot;,&quot;itemData&quot;:{&quot;ISSN&quot;:&quot;0306-9885&quot;,&quot;author&quot;:[{&quot;dropping-particle&quot;:&quot;&quot;,&quot;family&quot;:&quot;Viviers&quot;,&quot;given&quot;:&quot;Simon&quot;,&quot;non-dropping-particle&quot;:&quot;&quot;,&quot;parse-names&quot;:false,&quot;suffix&quot;:&quot;&quot;},{&quot;dropping-particle&quot;:&quot;&quot;,&quot;family&quot;:&quot;Dionne&quot;,&quot;given&quot;:&quot;Patricia&quot;,&quot;non-dropping-particle&quot;:&quot;&quot;,&quot;parse-names&quot;:false,&quot;suffix&quot;:&quot;&quot;},{&quot;dropping-particle&quot;:&quot;&quot;,&quot;family&quot;:&quot;Supeno&quot;,&quot;given&quot;:&quot;Eddy&quot;,&quot;non-dropping-particle&quot;:&quot;&quot;,&quot;parse-names&quot;:false,&quot;suffix&quot;:&quot;&quot;}],&quot;container-title&quot;:&quot;British Journal of Guidance &amp; Counselling&quot;,&quot;id&quot;:&quot;12bf78b5-16ed-56ae-ae59-049207c5f4ef&quot;,&quot;issue&quot;:&quot;5&quot;,&quot;issued&quot;:{&quot;date-parts&quot;:[[&quot;2023&quot;]]},&quot;page&quot;:&quot;765-780&quot;,&quot;publisher&quot;:&quot;Taylor &amp; Francis&quot;,&quot;title&quot;:&quot;Guidance counsellors’ work as a transformative activity: Supporting social justice through advocacy&quot;,&quot;type&quot;:&quot;article-journal&quot;,&quot;volume&quot;:&quot;51&quot;},&quot;uris&quot;:[&quot;http://www.mendeley.com/documents/?uuid=2f722b3c-9755-4e63-ac31-92376e7d332c&quot;],&quot;isTemporary&quot;:false,&quot;legacyDesktopId&quot;:&quot;2f722b3c-9755-4e63-ac31-92376e7d332c&quot;}],&quot;properties&quot;:{&quot;noteIndex&quot;:0},&quot;isEdited&quot;:false,&quot;manualOverride&quot;:{&quot;citeprocText&quot;:&quot;(Viviers et al., 2023)&quot;,&quot;isManuallyOverridden&quot;:false,&quot;manualOverrideText&quot;:&quot;&quot;},&quot;citationTag&quot;:&quot;MENDELEY_CITATION_v3_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&quot;},{&quot;citationID&quot;:&quot;MENDELEY_CITATION_afdf17de-6d2f-4e5b-a3d6-cd02b379b890&quot;,&quot;citationItems&quot;:[{&quot;id&quot;:&quot;66e2ed70-8db6-58c2-8c40-91f20e1d7025&quot;,&quot;itemData&quot;:{&quot;ISSN&quot;:&quot;1872-4973&quot;,&quot;author&quot;:[{&quot;dropping-particle&quot;:&quot;&quot;,&quot;family&quot;:&quot;Sturk-Andreaggi&quot;,&quot;given&quot;:&quot;Kimberly&quot;,&quot;non-dropping-particle&quot;:&quot;&quot;,&quot;parse-names&quot;:false,&quot;suffix&quot;:&quot;&quot;},{&quot;dropping-particle&quot;:&quot;&quot;,&quot;family&quot;:&quot;Parson&quot;,&quot;given&quot;:&quot;Walther&quot;,&quot;non-dropping-particle&quot;:&quot;&quot;,&quot;parse-names&quot;:false,&quot;suffix&quot;:&quot;&quot;},{&quot;dropping-particle&quot;:&quot;&quot;,&quot;family&quot;:&quot;Allen&quot;,&quot;given&quot;:&quot;Marie&quot;,&quot;non-dropping-particle&quot;:&quot;&quot;,&quot;parse-names&quot;:false,&quot;suffix&quot;:&quot;&quot;},{&quot;dropping-particle&quot;:&quot;&quot;,&quot;family&quot;:&quot;Marshall&quot;,&quot;given&quot;:&quot;Charla&quot;,&quot;non-dropping-particle&quot;:&quot;&quot;,&quot;parse-names&quot;:false,&quot;suffix&quot;:&quot;&quot;}],&quot;container-title&quot;:&quot;Forensic Science International: Genetics&quot;,&quot;id&quot;:&quot;66e2ed70-8db6-58c2-8c40-91f20e1d7025&quot;,&quot;issued&quot;:{&quot;date-parts&quot;:[[&quot;2020&quot;]]},&quot;page&quot;:&quot;102205&quot;,&quot;publisher&quot;:&quot;Elsevier&quot;,&quot;title&quot;:&quot;Impact of the sequencing method on the detection and interpretation of mitochondrial DNA length heteroplasmy&quot;,&quot;type&quot;:&quot;article-journal&quot;,&quot;volume&quot;:&quot;44&quot;},&quot;uris&quot;:[&quot;http://www.mendeley.com/documents/?uuid=4804497d-6912-4144-9c7e-cce8241ca531&quot;],&quot;isTemporary&quot;:false,&quot;legacyDesktopId&quot;:&quot;4804497d-6912-4144-9c7e-cce8241ca531&quot;}],&quot;properties&quot;:{&quot;noteIndex&quot;:0},&quot;isEdited&quot;:false,&quot;manualOverride&quot;:{&quot;citeprocText&quot;:&quot;(Sturk-Andreaggi et al., 2020)&quot;,&quot;isManuallyOverridden&quot;:false,&quot;manualOverrideText&quot;:&quot;&quot;},&quot;citationTag&quot;:&quot;MENDELEY_CITATION_v3_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&quot;},{&quot;citationID&quot;:&quot;MENDELEY_CITATION_db17e46d-ed1e-4ace-80f7-d907176dab3b&quot;,&quot;citationItems&quot;:[{&quot;id&quot;:&quot;c6e8564e-ec96-51f8-945e-05382f4a598a&quot;,&quot;itemData&quot;:{&quot;ISSN&quot;:&quot;2977-6988&quot;,&quot;author&quot;:[{&quot;dropping-particle&quot;:&quot;&quot;,&quot;family&quot;:&quot;Ahmad&quot;,&quot;given&quot;:&quot;Israr&quot;,&quot;non-dropping-particle&quot;:&quot;&quot;,&quot;parse-names&quot;:false,&quot;suffix&quot;:&quot;&quot;}],&quot;container-title&quot;:&quot;Sustainability Quest&quot;,&quot;id&quot;:&quot;c6e8564e-ec96-51f8-945e-05382f4a598a&quot;,&quot;issue&quot;:&quot;1&quot;,&quot;issued&quot;:{&quot;date-parts&quot;:[[&quot;2024&quot;]]},&quot;page&quot;:&quot;1-7&quot;,&quot;title&quot;:&quot;Exploring Advancing Social Equity through Sustainable Development: Challenges and Opportunities&quot;,&quot;type&quot;:&quot;article-journal&quot;,&quot;volume&quot;:&quot;1&quot;},&quot;uris&quot;:[&quot;http://www.mendeley.com/documents/?uuid=69d4e6c3-488f-4209-ba12-5aa1d19a78d1&quot;],&quot;isTemporary&quot;:false,&quot;legacyDesktopId&quot;:&quot;69d4e6c3-488f-4209-ba12-5aa1d19a78d1&quot;}],&quot;properties&quot;:{&quot;noteIndex&quot;:0},&quot;isEdited&quot;:false,&quot;manualOverride&quot;:{&quot;citeprocText&quot;:&quot;(Ahmad, 2024)&quot;,&quot;isManuallyOverridden&quot;:false,&quot;manualOverrideText&quot;:&quot;&quot;},&quot;citationTag&quot;:&quot;MENDELEY_CITATION_v3_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&quot;},{&quot;citationID&quot;:&quot;MENDELEY_CITATION_f88dd55f-6df0-4385-b5f4-27d8e130e212&quot;,&quot;citationItems&quot;:[{&quot;id&quot;:&quot;11d764c6-c3db-5ea9-b70a-394d7411c07c&quot;,&quot;itemData&quot;:{&quot;DOI&quot;:&quot;10.23762/FSO_VOL12_NO4_1&quot;,&quot;ISSN&quot;:&quot;23534435&quot;,&quot;abstract&quot;:&quot;The relationship between higher education and innovation development is pivotal to advancing Sustainable Development Goals (SDGs), particularly in fostering quality education (SDG 4), decent work and economic growth (SDG 8), and industry, innovation, and infrastructure (SDG 9). Understanding how higher education drives innovation can inform policies to develop human capital, accelerate technological progress, and promote sustainable economic and social development. This paper aims to assess the short-term and long-term impacts of higher education indicators on innovation development in Ukraine. Using data from 2014 to 2022, the study employs a vector error correction model to analyse the relationship between innovation development and higher education indicators. Innovation development was evaluated using the Malmquist productivity index, which incorporates time-series data from the Global Innovation Index to analyse short-and long-term dynamics in resource efficiency and innovation output, with a focus on Ukraine and the Visegrad Four countries for cross-country comparison. Methodological steps include stationarity testing with the ADF test, determining optimal lag length, Johansen cointegration analysis, Granger causality testing, and estimating impulse response functions. The results demonstrate a significant long-term equilibrium relationship between innovation development and higher education indicators. STEM graduates and higher education enrolment exhibit substantial positive long-term impacts, while research capacity and intellectual property payments show significant short-term effects. The findings underscore the transformative role of higher education as a driver of sustainable economic growth and technological progress. Theoretically, the study advances understanding of how education-driven human capital fosters innovation in transition economies. Practically, it offers evidence-based recommendations for policymakers to prioritise STEM education, support research initiatives, and enhance the use of intellectual property to build a robust and sustainable innovation system.&quot;,&quot;author&quot;:[{&quot;dropping-particle&quot;:&quot;&quot;,&quot;family&quot;:&quot;Szczepanska-Woszczyna&quot;,&quot;given&quot;:&quot;Katarzyna&quot;,&quot;non-dropping-particle&quot;:&quot;&quot;,&quot;parse-names&quot;:false,&quot;suffix&quot;:&quot;&quot;},{&quot;dropping-particle&quot;:&quot;&quot;,&quot;family&quot;:&quot;Lyulyov&quot;,&quot;given&quot;:&quot;Oleksii&quot;,&quot;non-dropping-particle&quot;:&quot;&quot;,&quot;parse-names&quot;:false,&quot;suffix&quot;:&quot;&quot;},{&quot;dropping-particle&quot;:&quot;&quot;,&quot;family&quot;:&quot;Pimonenko&quot;,&quot;given&quot;:&quot;Tetyana&quot;,&quot;non-dropping-particle&quot;:&quot;&quot;,&quot;parse-names&quot;:false,&quot;suffix&quot;:&quot;&quot;},{&quot;dropping-particle&quot;:&quot;&quot;,&quot;family&quot;:&quot;Infante-Moro&quot;,&quot;given&quot;:&quot;Alfonso&quot;,&quot;non-dropping-particle&quot;:&quot;&quot;,&quot;parse-names&quot;:false,&quot;suffix&quot;:&quot;&quot;},{&quot;dropping-particle&quot;:&quot;&quot;,&quot;family&quot;:&quot;Zimbroff&quot;,&quot;given&quot;:&quot;Andrew&quot;,&quot;non-dropping-particle&quot;:&quot;&quot;,&quot;parse-names&quot;:false,&quot;suffix&quot;:&quot;&quot;},{&quot;dropping-particle&quot;:&quot;&quot;,&quot;family&quot;:&quot;Solodovnikov&quot;,&quot;given&quot;:&quot;Serhii&quot;,&quot;non-dropping-particle&quot;:&quot;&quot;,&quot;parse-names&quot;:false,&quot;suffix&quot;:&quot;&quot;}],&quot;container-title&quot;:&quot;Forum Scientiae Oeconomia&quot;,&quot;id&quot;:&quot;11d764c6-c3db-5ea9-b70a-394d7411c07c&quot;,&quot;issue&quot;:&quot;4&quot;,&quot;issued&quot;:{&quot;date-parts&quot;:[[&quot;2024&quot;,&quot;12&quot;,&quot;31&quot;]]},&quot;page&quot;:&quot;8-29&quot;,&quot;publisher&quot;:&quot;WSB University&quot;,&quot;title&quot;:&quot;The Contribution of Higher Education to Innovation Development: Long-Term and Short-Term Analysis&quot;,&quot;type&quot;:&quot;article-journal&quot;,&quot;volume&quot;:&quot;12&quot;},&quot;uris&quot;:[&quot;http://www.mendeley.com/documents/?uuid=36e07262-6d04-350c-96e2-9bf16b04efe7&quot;],&quot;isTemporary&quot;:false,&quot;legacyDesktopId&quot;:&quot;36e07262-6d04-350c-96e2-9bf16b04efe7&quot;}],&quot;properties&quot;:{&quot;noteIndex&quot;:0},&quot;isEdited&quot;:false,&quot;manualOverride&quot;:{&quot;citeprocText&quot;:&quot;(Szczepanska-Woszczyna et al., 2024)&quot;,&quot;isManuallyOverridden&quot;:false,&quot;manualOverrideText&quot;:&quot;&quot;},&quot;citationTag&quot;:&quot;MENDELEY_CITATION_v3_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&quot;},{&quot;citationID&quot;:&quot;MENDELEY_CITATION_828f0e3d-0c8f-4790-bcdb-30818525bf2d&quot;,&quot;citationItems&quot;:[{&quot;id&quot;:&quot;850f2742-3371-5e61-9c03-4f4528fbb268&quot;,&quot;itemData&quot;:{&quot;ISBN&quot;:&quot;1506330193&quot;,&quot;author&quot;:[{&quot;dropping-particle&quot;:&quot;&quot;,&quot;family&quot;:&quot;Creswell&quot;,&quot;given&quot;:&quot;John W&quot;,&quot;non-dropping-particle&quot;:&quot;&quot;,&quot;parse-names&quot;:false,&quot;suffix&quot;:&quot;&quot;},{&quot;dropping-particle&quot;:&quot;&quot;,&quot;family&quot;:&quot;Poth&quot;,&quot;given&quot;:&quot;Cheryl N&quot;,&quot;non-dropping-particle&quot;:&quot;&quot;,&quot;parse-names&quot;:false,&quot;suffix&quot;:&quot;&quot;}],&quot;id&quot;:&quot;850f2742-3371-5e61-9c03-4f4528fbb268&quot;,&quot;issued&quot;:{&quot;date-parts&quot;:[[&quot;2016&quot;]]},&quot;publisher&quot;:&quot;Sage publications&quot;,&quot;title&quot;:&quot;Qualitative inquiry and research design: Choosing among five approaches&quot;,&quot;type&quot;:&quot;book&quot;},&quot;uris&quot;:[&quot;http://www.mendeley.com/documents/?uuid=88fee723-f627-428d-bf83-20985891228e&quot;],&quot;isTemporary&quot;:false,&quot;legacyDesktopId&quot;:&quot;88fee723-f627-428d-bf83-20985891228e&quot;}],&quot;properties&quot;:{&quot;noteIndex&quot;:0},&quot;isEdited&quot;:false,&quot;manualOverride&quot;:{&quot;citeprocText&quot;:&quot;(Creswell &amp;#38; Poth, 2016)&quot;,&quot;isManuallyOverridden&quot;:false,&quot;manualOverrideText&quot;:&quot;&quot;},&quot;citationTag&quot;:&quot;MENDELEY_CITATION_v3_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&quot;},{&quot;citationID&quot;:&quot;MENDELEY_CITATION_5c2c6b92-5d7c-4493-8e0a-ed4012e979c1&quot;,&quot;citationItems&quot;:[{&quot;id&quot;:&quot;ee99259f-b8dd-582e-9e41-facdc79dd01e&quot;,&quot;itemData&quot;:{&quot;author&quot;:[{&quot;dropping-particle&quot;:&quot;&quot;,&quot;family&quot;:&quot;Corrigan&quot;,&quot;given&quot;:&quot;Julie A&quot;,&quot;non-dropping-particle&quot;:&quot;&quot;,&quot;parse-names&quot;:false,&quot;suffix&quot;:&quot;&quot;},{&quot;dropping-particle&quot;:&quot;&quot;,&quot;family&quot;:&quot;Onwuegbuzie&quot;,&quot;given&quot;:&quot;Anthony J&quot;,&quot;non-dropping-particle&quot;:&quot;&quot;,&quot;parse-names&quot;:false,&quot;suffix&quot;:&quot;&quot;}],&quot;id&quot;:&quot;ee99259f-b8dd-582e-9e41-facdc79dd01e&quot;,&quot;issued&quot;:{&quot;date-parts&quot;:[[&quot;2020&quot;]]},&quot;title&quot;:&quot;Toward a meta-framework for conducting mixed methods representation analyses to optimize meta-inferences&quot;,&quot;type&quot;:&quot;article-journal&quot;},&quot;uris&quot;:[&quot;http://www.mendeley.com/documents/?uuid=bd019229-68c2-429e-b029-86240d37a8d3&quot;],&quot;isTemporary&quot;:false,&quot;legacyDesktopId&quot;:&quot;bd019229-68c2-429e-b029-86240d37a8d3&quot;}],&quot;properties&quot;:{&quot;noteIndex&quot;:0},&quot;isEdited&quot;:false,&quot;manualOverride&quot;:{&quot;citeprocText&quot;:&quot;(Corrigan &amp;#38; Onwuegbuzie, 2020)&quot;,&quot;isManuallyOverridden&quot;:false,&quot;manualOverrideText&quot;:&quot;&quot;},&quot;citationTag&quot;:&quot;MENDELEY_CITATION_v3_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&quot;},{&quot;citationID&quot;:&quot;MENDELEY_CITATION_32ffab59-0662-42ea-9e99-086859cc018d&quot;,&quot;citationItems&quot;:[{&quot;id&quot;:&quot;0da7f5c3-8795-537b-9e86-8503b58d0359&quot;,&quot;itemData&quot;:{&quot;ISSN&quot;:&quot;0165-1781&quot;,&quot;author&quot;:[{&quot;dropping-particle&quot;:&quot;&quot;,&quot;family&quot;:&quot;Marroquín&quot;,&quot;given&quot;:&quot;Brett&quot;,&quot;non-dropping-particle&quot;:&quot;&quot;,&quot;parse-names&quot;:false,&quot;suffix&quot;:&quot;&quot;},{&quot;dropping-particle&quot;:&quot;&quot;,&quot;family&quot;:&quot;Vine&quot;,&quot;given&quot;:&quot;Vera&quot;,&quot;non-dropping-particle&quot;:&quot;&quot;,&quot;parse-names&quot;:false,&quot;suffix&quot;:&quot;&quot;},{&quot;dropping-particle&quot;:&quot;&quot;,&quot;family&quot;:&quot;Morgan&quot;,&quot;given&quot;:&quot;Reed&quot;,&quot;non-dropping-particle&quot;:&quot;&quot;,&quot;parse-names&quot;:false,&quot;suffix&quot;:&quot;&quot;}],&quot;container-title&quot;:&quot;Psychiatry research&quot;,&quot;id&quot;:&quot;0da7f5c3-8795-537b-9e86-8503b58d0359&quot;,&quot;issued&quot;:{&quot;date-parts&quot;:[[&quot;2020&quot;]]},&quot;page&quot;:&quot;113419&quot;,&quot;publisher&quot;:&quot;Elsevier&quot;,&quot;title&quot;:&quot;Mental health during the COVID-19 pandemic: Effects of stay-at-home policies, social distancing behavior, and social resources&quot;,&quot;type&quot;:&quot;article-journal&quot;,&quot;volume&quot;:&quot;293&quot;},&quot;uris&quot;:[&quot;http://www.mendeley.com/documents/?uuid=9b3a9666-8310-4093-a0c9-645306d9bf5d&quot;],&quot;isTemporary&quot;:false,&quot;legacyDesktopId&quot;:&quot;9b3a9666-8310-4093-a0c9-645306d9bf5d&quot;}],&quot;properties&quot;:{&quot;noteIndex&quot;:0},&quot;isEdited&quot;:false,&quot;manualOverride&quot;:{&quot;citeprocText&quot;:&quot;(Marroquín et al., 2020)&quot;,&quot;isManuallyOverridden&quot;:false,&quot;manualOverrideText&quot;:&quot;&quot;},&quot;citationTag&quot;:&quot;MENDELEY_CITATION_v3_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&quot;},{&quot;citationID&quot;:&quot;MENDELEY_CITATION_efe81ab5-5531-4226-98f8-67f1abf46f08&quot;,&quot;citationItems&quot;:[{&quot;id&quot;:&quot;66e2ed70-8db6-58c2-8c40-91f20e1d7025&quot;,&quot;itemData&quot;:{&quot;ISSN&quot;:&quot;1872-4973&quot;,&quot;author&quot;:[{&quot;dropping-particle&quot;:&quot;&quot;,&quot;family&quot;:&quot;Sturk-Andreaggi&quot;,&quot;given&quot;:&quot;Kimberly&quot;,&quot;non-dropping-particle&quot;:&quot;&quot;,&quot;parse-names&quot;:false,&quot;suffix&quot;:&quot;&quot;},{&quot;dropping-particle&quot;:&quot;&quot;,&quot;family&quot;:&quot;Parson&quot;,&quot;given&quot;:&quot;Walther&quot;,&quot;non-dropping-particle&quot;:&quot;&quot;,&quot;parse-names&quot;:false,&quot;suffix&quot;:&quot;&quot;},{&quot;dropping-particle&quot;:&quot;&quot;,&quot;family&quot;:&quot;Allen&quot;,&quot;given&quot;:&quot;Marie&quot;,&quot;non-dropping-particle&quot;:&quot;&quot;,&quot;parse-names&quot;:false,&quot;suffix&quot;:&quot;&quot;},{&quot;dropping-particle&quot;:&quot;&quot;,&quot;family&quot;:&quot;Marshall&quot;,&quot;given&quot;:&quot;Charla&quot;,&quot;non-dropping-particle&quot;:&quot;&quot;,&quot;parse-names&quot;:false,&quot;suffix&quot;:&quot;&quot;}],&quot;container-title&quot;:&quot;Forensic Science International: Genetics&quot;,&quot;id&quot;:&quot;66e2ed70-8db6-58c2-8c40-91f20e1d7025&quot;,&quot;issued&quot;:{&quot;date-parts&quot;:[[&quot;2020&quot;]]},&quot;page&quot;:&quot;102205&quot;,&quot;publisher&quot;:&quot;Elsevier&quot;,&quot;title&quot;:&quot;Impact of the sequencing method on the detection and interpretation of mitochondrial DNA length heteroplasmy&quot;,&quot;type&quot;:&quot;article-journal&quot;,&quot;volume&quot;:&quot;44&quot;},&quot;uris&quot;:[&quot;http://www.mendeley.com/documents/?uuid=4804497d-6912-4144-9c7e-cce8241ca531&quot;],&quot;isTemporary&quot;:false,&quot;legacyDesktopId&quot;:&quot;4804497d-6912-4144-9c7e-cce8241ca531&quot;}],&quot;properties&quot;:{&quot;noteIndex&quot;:0},&quot;isEdited&quot;:false,&quot;manualOverride&quot;:{&quot;citeprocText&quot;:&quot;(Sturk-Andreaggi et al., 2020)&quot;,&quot;isManuallyOverridden&quot;:false,&quot;manualOverrideText&quot;:&quot;&quot;},&quot;citationTag&quot;:&quot;MENDELEY_CITATION_v3_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&quot;}]"/>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i2Jtko7Qz/jo5ucSmTwBrsdfdw==">CgMxLjAyCGguZ2pkZ3hzMg5oLnJ4c3c1djFsdmM0bDgAciExQlpOTmtZTEZuaGd6WmFoYnh5UUJQRTByYjA4YndSLWE=</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01D47EE-CD3A-4921-9C58-80D67A272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7862</Words>
  <Characters>44814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Shobichah Shobichah</cp:lastModifiedBy>
  <cp:revision>2</cp:revision>
  <dcterms:created xsi:type="dcterms:W3CDTF">2026-02-20T03:14:00Z</dcterms:created>
  <dcterms:modified xsi:type="dcterms:W3CDTF">2026-02-20T03:14:00Z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id="av5XeO15"/&gt;&lt;style id="http://www.zotero.org/styles/al-jamiah-journal-of-islamic-studies-indonesia" hasBibliography="1" bibliographyStyleHasBeenSet="1"/&gt;&lt;prefs&gt;&lt;pref name="fieldType" value="Field"</vt:lpwstr>
  </property>
  <property fmtid="{D5CDD505-2E9C-101B-9397-08002B2CF9AE}" pid="3" name="ZOTERO_PREF_2">
    <vt:lpwstr>/&gt;&lt;pref name="storeReferences" value="true"/&gt;&lt;pref name="automaticJournalAbbreviations" value="true"/&gt;&lt;pref name="noteType" value="1"/&gt;&lt;/prefs&gt;&lt;/data&gt;</vt:lpwstr>
  </property>
  <property fmtid="{D5CDD505-2E9C-101B-9397-08002B2CF9AE}" pid="4" name="GrammarlyDocumentId">
    <vt:lpwstr>a646ac64-92d2-44f1-9a7e-f6f75ababba1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http://www.zotero.org/styles/apa-6th-edition</vt:lpwstr>
  </property>
  <property fmtid="{D5CDD505-2E9C-101B-9397-08002B2CF9AE}" pid="8" name="Mendeley Recent Style Name 1_1">
    <vt:lpwstr>American Psychological Association 6th edition</vt:lpwstr>
  </property>
  <property fmtid="{D5CDD505-2E9C-101B-9397-08002B2CF9AE}" pid="9" name="Mendeley Recent Style Id 2_1">
    <vt:lpwstr>https://csl.mendeley.com/styles/475823531/apa</vt:lpwstr>
  </property>
  <property fmtid="{D5CDD505-2E9C-101B-9397-08002B2CF9AE}" pid="10" name="Mendeley Recent Style Name 2_1">
    <vt:lpwstr>American Psychological Association 6th edition - Mincho Slavov</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http://csl.mendeley.com/styles/608343551/apa-2</vt:lpwstr>
  </property>
  <property fmtid="{D5CDD505-2E9C-101B-9397-08002B2CF9AE}" pid="14" name="Mendeley Recent Style Name 4_1">
    <vt:lpwstr>American Psychological Association 7th edition - Hapry Hapry 5</vt:lpwstr>
  </property>
  <property fmtid="{D5CDD505-2E9C-101B-9397-08002B2CF9AE}" pid="15" name="Mendeley Recent Style Id 5_1">
    <vt:lpwstr>http://www.zotero.org/styles/american-sociological-association</vt:lpwstr>
  </property>
  <property fmtid="{D5CDD505-2E9C-101B-9397-08002B2CF9AE}" pid="16" name="Mendeley Recent Style Name 5_1">
    <vt:lpwstr>American Sociological Association 6th edition</vt:lpwstr>
  </property>
  <property fmtid="{D5CDD505-2E9C-101B-9397-08002B2CF9AE}" pid="17" name="Mendeley Recent Style Id 6_1">
    <vt:lpwstr>http://www.zotero.org/styles/chicago-fullnote-bibliography</vt:lpwstr>
  </property>
  <property fmtid="{D5CDD505-2E9C-101B-9397-08002B2CF9AE}" pid="18" name="Mendeley Recent Style Name 6_1">
    <vt:lpwstr>Chicago Manual of Style 17th edition (full note)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Mendeley Document_1">
    <vt:lpwstr>True</vt:lpwstr>
  </property>
  <property fmtid="{D5CDD505-2E9C-101B-9397-08002B2CF9AE}" pid="26" name="Mendeley Unique User Id_1">
    <vt:lpwstr>c27c119f-6a92-32b4-b2ad-c0f7aee95fa6</vt:lpwstr>
  </property>
  <property fmtid="{D5CDD505-2E9C-101B-9397-08002B2CF9AE}" pid="27" name="Mendeley Citation Style_1">
    <vt:lpwstr>http://www.zotero.org/styles/apa</vt:lpwstr>
  </property>
  <property fmtid="{D5CDD505-2E9C-101B-9397-08002B2CF9AE}" pid="28" name="KSOProductBuildVer">
    <vt:lpwstr>1033-12.2.0.23196</vt:lpwstr>
  </property>
  <property fmtid="{D5CDD505-2E9C-101B-9397-08002B2CF9AE}" pid="29" name="ICV">
    <vt:lpwstr>5F3F435F46D74E3D84A8862F0F1724BE_13</vt:lpwstr>
  </property>
</Properties>
</file>